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C7F42" w14:textId="77777777" w:rsidR="001E2B94" w:rsidRPr="005E2F8B" w:rsidRDefault="001E2B94" w:rsidP="001E2B94">
      <w:pPr>
        <w:ind w:left="720" w:hanging="360"/>
        <w:rPr>
          <w:rFonts w:ascii="Microsoft Sans Serif" w:hAnsi="Microsoft Sans Serif" w:cs="Microsoft Sans Serif"/>
          <w:sz w:val="24"/>
          <w:szCs w:val="24"/>
        </w:rPr>
      </w:pPr>
    </w:p>
    <w:p w14:paraId="339B2F16" w14:textId="77777777" w:rsidR="001E2B94" w:rsidRPr="005E2F8B" w:rsidRDefault="001E2B94" w:rsidP="001E2B94">
      <w:pPr>
        <w:pStyle w:val="Paragrafoelenco"/>
        <w:numPr>
          <w:ilvl w:val="0"/>
          <w:numId w:val="2"/>
        </w:numPr>
        <w:rPr>
          <w:rFonts w:ascii="Microsoft Sans Serif" w:hAnsi="Microsoft Sans Serif" w:cs="Microsoft Sans Serif"/>
          <w:sz w:val="24"/>
          <w:szCs w:val="24"/>
          <w:lang w:val="en-US"/>
        </w:rPr>
      </w:pPr>
    </w:p>
    <w:p w14:paraId="09CCD56C" w14:textId="636A256C" w:rsidR="009D5D57" w:rsidRPr="005E2F8B" w:rsidRDefault="001E2B94" w:rsidP="001E2B94">
      <w:pPr>
        <w:pStyle w:val="Paragrafoelenco"/>
        <w:rPr>
          <w:rFonts w:ascii="Microsoft Sans Serif" w:hAnsi="Microsoft Sans Serif" w:cs="Microsoft Sans Serif"/>
          <w:color w:val="000000"/>
          <w:sz w:val="24"/>
          <w:szCs w:val="24"/>
          <w:shd w:val="clear" w:color="auto" w:fill="FFFFFF"/>
        </w:rPr>
      </w:pPr>
      <w:r w:rsidRPr="005E2F8B">
        <w:rPr>
          <w:rFonts w:ascii="Microsoft Sans Serif" w:hAnsi="Microsoft Sans Serif" w:cs="Microsoft Sans Serif"/>
          <w:color w:val="000000"/>
          <w:sz w:val="24"/>
          <w:szCs w:val="24"/>
          <w:shd w:val="clear" w:color="auto" w:fill="FFFFFF"/>
        </w:rPr>
        <w:t xml:space="preserve">We continue to document all major climatic variables in the uplands and floodplains at Bonanza Creek. In addition, we have documented the successional changes in microclimate in 9 successional upland and floodplain stands at Bonanza Creek (BNZ) and in four elevational locations at Caribou-Poker Creek (CPCRW). A sun photometer is operated cooperatively with NASA to estimate high-latitude atmospheric extinction coefficients for remote-sensing images. Electronic data are collected monthly and loaded into a database which produces monthly summaries. The data are checked for errors, documented, and placed on-line on the BNZ Web page. Climate data for the entire state have been summarized for the period of station records and </w:t>
      </w:r>
      <w:proofErr w:type="spellStart"/>
      <w:r w:rsidRPr="005E2F8B">
        <w:rPr>
          <w:rFonts w:ascii="Microsoft Sans Serif" w:hAnsi="Microsoft Sans Serif" w:cs="Microsoft Sans Serif"/>
          <w:color w:val="000000"/>
          <w:sz w:val="24"/>
          <w:szCs w:val="24"/>
          <w:shd w:val="clear" w:color="auto" w:fill="FFFFFF"/>
        </w:rPr>
        <w:t>krieged</w:t>
      </w:r>
      <w:proofErr w:type="spellEnd"/>
      <w:r w:rsidRPr="005E2F8B">
        <w:rPr>
          <w:rFonts w:ascii="Microsoft Sans Serif" w:hAnsi="Microsoft Sans Serif" w:cs="Microsoft Sans Serif"/>
          <w:color w:val="000000"/>
          <w:sz w:val="24"/>
          <w:szCs w:val="24"/>
          <w:shd w:val="clear" w:color="auto" w:fill="FFFFFF"/>
        </w:rPr>
        <w:t xml:space="preserve"> to produce maps of climate zones for Alaska based on growing-season and annual temperature and precipitation.</w:t>
      </w:r>
    </w:p>
    <w:p w14:paraId="7A2A968B" w14:textId="4EDE4B6E" w:rsidR="001E2B94" w:rsidRPr="005E2F8B" w:rsidRDefault="001E2B94" w:rsidP="001E2B94">
      <w:pPr>
        <w:pStyle w:val="Paragrafoelenco"/>
        <w:rPr>
          <w:rFonts w:ascii="Microsoft Sans Serif" w:hAnsi="Microsoft Sans Serif" w:cs="Microsoft Sans Serif"/>
          <w:color w:val="000000"/>
          <w:sz w:val="24"/>
          <w:szCs w:val="24"/>
          <w:shd w:val="clear" w:color="auto" w:fill="FFFFFF"/>
        </w:rPr>
      </w:pPr>
    </w:p>
    <w:p w14:paraId="41009B65" w14:textId="4F5642C3" w:rsidR="001E2B94" w:rsidRPr="005E2F8B" w:rsidRDefault="001E2B94" w:rsidP="001E2B94">
      <w:pPr>
        <w:pStyle w:val="Paragrafoelenco"/>
        <w:rPr>
          <w:rFonts w:ascii="Microsoft Sans Serif" w:hAnsi="Microsoft Sans Serif" w:cs="Microsoft Sans Serif"/>
          <w:color w:val="000000"/>
          <w:sz w:val="24"/>
          <w:szCs w:val="24"/>
          <w:shd w:val="clear" w:color="auto" w:fill="FFFFFF"/>
        </w:rPr>
      </w:pPr>
    </w:p>
    <w:p w14:paraId="579EFA63" w14:textId="77777777" w:rsidR="001E2B94" w:rsidRPr="005E2F8B" w:rsidRDefault="001E2B94" w:rsidP="001E2B94">
      <w:pPr>
        <w:pStyle w:val="Paragrafoelenco"/>
        <w:numPr>
          <w:ilvl w:val="0"/>
          <w:numId w:val="2"/>
        </w:numPr>
        <w:shd w:val="clear" w:color="auto" w:fill="FFFFFF"/>
        <w:spacing w:before="100" w:beforeAutospacing="1" w:after="100" w:afterAutospacing="1" w:line="319" w:lineRule="atLeast"/>
        <w:rPr>
          <w:rFonts w:ascii="Microsoft Sans Serif" w:eastAsia="Times New Roman" w:hAnsi="Microsoft Sans Serif" w:cs="Microsoft Sans Serif"/>
          <w:color w:val="000000"/>
          <w:sz w:val="24"/>
          <w:szCs w:val="24"/>
          <w:lang w:val="en-RW" w:eastAsia="en-RW"/>
        </w:rPr>
      </w:pPr>
      <w:r w:rsidRPr="005E2F8B">
        <w:rPr>
          <w:rFonts w:ascii="Microsoft Sans Serif" w:eastAsia="Times New Roman" w:hAnsi="Microsoft Sans Serif" w:cs="Microsoft Sans Serif"/>
          <w:color w:val="000000"/>
          <w:sz w:val="24"/>
          <w:szCs w:val="24"/>
          <w:lang w:val="en-US" w:eastAsia="en-RW"/>
        </w:rPr>
        <w:t>Background</w:t>
      </w:r>
    </w:p>
    <w:p w14:paraId="7C1BAAAA" w14:textId="77777777" w:rsidR="001E2B94" w:rsidRPr="005E2F8B" w:rsidRDefault="001E2B94" w:rsidP="001E2B94">
      <w:pPr>
        <w:pStyle w:val="Paragrafoelenco"/>
        <w:shd w:val="clear" w:color="auto" w:fill="FFFFFF"/>
        <w:spacing w:before="100" w:beforeAutospacing="1" w:after="100" w:afterAutospacing="1" w:line="319" w:lineRule="atLeast"/>
        <w:rPr>
          <w:rFonts w:ascii="Microsoft Sans Serif" w:eastAsia="Times New Roman" w:hAnsi="Microsoft Sans Serif" w:cs="Microsoft Sans Serif"/>
          <w:color w:val="000000"/>
          <w:sz w:val="24"/>
          <w:szCs w:val="24"/>
          <w:lang w:val="en-RW" w:eastAsia="en-RW"/>
        </w:rPr>
      </w:pPr>
      <w:r w:rsidRPr="005E2F8B">
        <w:rPr>
          <w:rFonts w:ascii="Microsoft Sans Serif" w:eastAsia="Times New Roman" w:hAnsi="Microsoft Sans Serif" w:cs="Microsoft Sans Serif"/>
          <w:color w:val="000000"/>
          <w:sz w:val="24"/>
          <w:szCs w:val="24"/>
          <w:lang w:val="en-RW" w:eastAsia="en-RW"/>
        </w:rPr>
        <w:t xml:space="preserve">This paper argues that writing across the curriculum has failed to consider how its practices and theories serve to inscribe students within normalized discourses. As scholars such as Susan McLeod, Anne Herrington and Charles Moran begin to re-think the way writing-across-the-curriculum programs have situated themselves within composition theory, an intriguing disparity has presented itself between writing-to-learn and learning-to-write. </w:t>
      </w:r>
    </w:p>
    <w:p w14:paraId="2E96277B" w14:textId="126C0DF9" w:rsidR="001E2B94" w:rsidRPr="005E2F8B" w:rsidRDefault="001E2B94" w:rsidP="001E2B94">
      <w:pPr>
        <w:pStyle w:val="Paragrafoelenco"/>
        <w:shd w:val="clear" w:color="auto" w:fill="FFFFFF"/>
        <w:spacing w:before="100" w:beforeAutospacing="1" w:after="100" w:afterAutospacing="1" w:line="319" w:lineRule="atLeast"/>
        <w:rPr>
          <w:rFonts w:ascii="Microsoft Sans Serif" w:eastAsia="Times New Roman" w:hAnsi="Microsoft Sans Serif" w:cs="Microsoft Sans Serif"/>
          <w:color w:val="000000"/>
          <w:sz w:val="24"/>
          <w:szCs w:val="24"/>
          <w:lang w:val="en-US" w:eastAsia="en-RW"/>
        </w:rPr>
      </w:pPr>
      <w:r w:rsidRPr="005E2F8B">
        <w:rPr>
          <w:rFonts w:ascii="Microsoft Sans Serif" w:eastAsia="Times New Roman" w:hAnsi="Microsoft Sans Serif" w:cs="Microsoft Sans Serif"/>
          <w:color w:val="000000"/>
          <w:sz w:val="24"/>
          <w:szCs w:val="24"/>
          <w:lang w:val="en-US" w:eastAsia="en-RW"/>
        </w:rPr>
        <w:t>S</w:t>
      </w:r>
      <w:r w:rsidRPr="005E2F8B">
        <w:rPr>
          <w:rFonts w:ascii="Microsoft Sans Serif" w:eastAsia="Times New Roman" w:hAnsi="Microsoft Sans Serif" w:cs="Microsoft Sans Serif"/>
          <w:color w:val="000000"/>
          <w:sz w:val="24"/>
          <w:szCs w:val="24"/>
          <w:lang w:val="en-RW" w:eastAsia="en-RW"/>
        </w:rPr>
        <w:t>t</w:t>
      </w:r>
      <w:proofErr w:type="spellStart"/>
      <w:r w:rsidRPr="005E2F8B">
        <w:rPr>
          <w:rFonts w:ascii="Microsoft Sans Serif" w:eastAsia="Times New Roman" w:hAnsi="Microsoft Sans Serif" w:cs="Microsoft Sans Serif"/>
          <w:color w:val="000000"/>
          <w:sz w:val="24"/>
          <w:szCs w:val="24"/>
          <w:lang w:val="en-US" w:eastAsia="en-RW"/>
        </w:rPr>
        <w:t>ud</w:t>
      </w:r>
      <w:proofErr w:type="spellEnd"/>
      <w:r w:rsidRPr="005E2F8B">
        <w:rPr>
          <w:rFonts w:ascii="Microsoft Sans Serif" w:eastAsia="Times New Roman" w:hAnsi="Microsoft Sans Serif" w:cs="Microsoft Sans Serif"/>
          <w:color w:val="000000"/>
          <w:sz w:val="24"/>
          <w:szCs w:val="24"/>
          <w:lang w:val="en-RW" w:eastAsia="en-RW"/>
        </w:rPr>
        <w:t>y</w:t>
      </w:r>
    </w:p>
    <w:p w14:paraId="74BF6AC6" w14:textId="77777777" w:rsidR="001E2B94" w:rsidRPr="005E2F8B" w:rsidRDefault="001E2B94" w:rsidP="001E2B94">
      <w:pPr>
        <w:pStyle w:val="Paragrafoelenco"/>
        <w:shd w:val="clear" w:color="auto" w:fill="FFFFFF"/>
        <w:spacing w:before="100" w:beforeAutospacing="1" w:after="100" w:afterAutospacing="1" w:line="319" w:lineRule="atLeast"/>
        <w:rPr>
          <w:rFonts w:ascii="Microsoft Sans Serif" w:eastAsia="Times New Roman" w:hAnsi="Microsoft Sans Serif" w:cs="Microsoft Sans Serif"/>
          <w:color w:val="000000"/>
          <w:sz w:val="24"/>
          <w:szCs w:val="24"/>
          <w:lang w:val="en-US" w:eastAsia="en-RW"/>
        </w:rPr>
      </w:pPr>
      <w:r w:rsidRPr="005E2F8B">
        <w:rPr>
          <w:rFonts w:ascii="Microsoft Sans Serif" w:eastAsia="Times New Roman" w:hAnsi="Microsoft Sans Serif" w:cs="Microsoft Sans Serif"/>
          <w:color w:val="000000"/>
          <w:sz w:val="24"/>
          <w:szCs w:val="24"/>
          <w:lang w:val="en-RW" w:eastAsia="en-RW"/>
        </w:rPr>
        <w:t xml:space="preserve">This paper suggests, however, that despite the two approaches' seeming epistemological differences, they work toward a similar goal: the accommodation or inscription of (student) subjects into the various disciplinary strands of academic discourse. From a </w:t>
      </w:r>
      <w:proofErr w:type="spellStart"/>
      <w:r w:rsidRPr="005E2F8B">
        <w:rPr>
          <w:rFonts w:ascii="Microsoft Sans Serif" w:eastAsia="Times New Roman" w:hAnsi="Microsoft Sans Serif" w:cs="Microsoft Sans Serif"/>
          <w:color w:val="000000"/>
          <w:sz w:val="24"/>
          <w:szCs w:val="24"/>
          <w:lang w:val="en-RW" w:eastAsia="en-RW"/>
        </w:rPr>
        <w:t>poststructural</w:t>
      </w:r>
      <w:proofErr w:type="spellEnd"/>
      <w:r w:rsidRPr="005E2F8B">
        <w:rPr>
          <w:rFonts w:ascii="Microsoft Sans Serif" w:eastAsia="Times New Roman" w:hAnsi="Microsoft Sans Serif" w:cs="Microsoft Sans Serif"/>
          <w:color w:val="000000"/>
          <w:sz w:val="24"/>
          <w:szCs w:val="24"/>
          <w:lang w:val="en-RW" w:eastAsia="en-RW"/>
        </w:rPr>
        <w:t xml:space="preserve"> perspective, the goals of both these models function as a coherent technology of subject production. Writing to learn exercises provide a discursive space in which students learn to write themselves as subjects of the discourse, using the writing space to "practice" an integration of self with a disciplinary subjectivity</w:t>
      </w:r>
      <w:r w:rsidRPr="005E2F8B">
        <w:rPr>
          <w:rFonts w:ascii="Microsoft Sans Serif" w:eastAsia="Times New Roman" w:hAnsi="Microsoft Sans Serif" w:cs="Microsoft Sans Serif"/>
          <w:color w:val="000000"/>
          <w:sz w:val="24"/>
          <w:szCs w:val="24"/>
          <w:lang w:val="en-US" w:eastAsia="en-RW"/>
        </w:rPr>
        <w:t>.</w:t>
      </w:r>
    </w:p>
    <w:p w14:paraId="708C5B7C" w14:textId="77777777" w:rsidR="001E2B94" w:rsidRPr="005E2F8B" w:rsidRDefault="001E2B94" w:rsidP="001E2B94">
      <w:pPr>
        <w:pStyle w:val="Paragrafoelenco"/>
        <w:shd w:val="clear" w:color="auto" w:fill="FFFFFF"/>
        <w:spacing w:before="100" w:beforeAutospacing="1" w:after="100" w:afterAutospacing="1" w:line="319" w:lineRule="atLeast"/>
        <w:rPr>
          <w:rFonts w:ascii="Microsoft Sans Serif" w:eastAsia="Times New Roman" w:hAnsi="Microsoft Sans Serif" w:cs="Microsoft Sans Serif"/>
          <w:color w:val="000000"/>
          <w:sz w:val="24"/>
          <w:szCs w:val="24"/>
          <w:lang w:val="en-US" w:eastAsia="en-RW"/>
        </w:rPr>
      </w:pPr>
      <w:r w:rsidRPr="005E2F8B">
        <w:rPr>
          <w:rFonts w:ascii="Microsoft Sans Serif" w:eastAsia="Times New Roman" w:hAnsi="Microsoft Sans Serif" w:cs="Microsoft Sans Serif"/>
          <w:color w:val="000000"/>
          <w:sz w:val="24"/>
          <w:szCs w:val="24"/>
          <w:lang w:val="en-US" w:eastAsia="en-RW"/>
        </w:rPr>
        <w:t>Conclusion</w:t>
      </w:r>
    </w:p>
    <w:p w14:paraId="281807A6" w14:textId="5AF127AF" w:rsidR="001E2B94" w:rsidRPr="005E2F8B" w:rsidRDefault="001E2B94" w:rsidP="001E2B94">
      <w:pPr>
        <w:pStyle w:val="Paragrafoelenco"/>
        <w:shd w:val="clear" w:color="auto" w:fill="FFFFFF"/>
        <w:spacing w:before="100" w:beforeAutospacing="1" w:after="100" w:afterAutospacing="1" w:line="319" w:lineRule="atLeast"/>
        <w:rPr>
          <w:rFonts w:ascii="Microsoft Sans Serif" w:eastAsia="Times New Roman" w:hAnsi="Microsoft Sans Serif" w:cs="Microsoft Sans Serif"/>
          <w:color w:val="000000"/>
          <w:sz w:val="24"/>
          <w:szCs w:val="24"/>
          <w:lang w:val="en-RW" w:eastAsia="en-RW"/>
        </w:rPr>
      </w:pPr>
      <w:r w:rsidRPr="005E2F8B">
        <w:rPr>
          <w:rFonts w:ascii="Microsoft Sans Serif" w:eastAsia="Times New Roman" w:hAnsi="Microsoft Sans Serif" w:cs="Microsoft Sans Serif"/>
          <w:color w:val="000000"/>
          <w:sz w:val="24"/>
          <w:szCs w:val="24"/>
          <w:lang w:val="en-RW" w:eastAsia="en-RW"/>
        </w:rPr>
        <w:t xml:space="preserve">In sum, both approaches to WAC are subject to the same description and critique of how academic discourse seeks to inscribe students as subjects that has been forged against composition instruction in English departments (e.g., </w:t>
      </w:r>
      <w:proofErr w:type="spellStart"/>
      <w:r w:rsidRPr="005E2F8B">
        <w:rPr>
          <w:rFonts w:ascii="Microsoft Sans Serif" w:eastAsia="Times New Roman" w:hAnsi="Microsoft Sans Serif" w:cs="Microsoft Sans Serif"/>
          <w:color w:val="000000"/>
          <w:sz w:val="24"/>
          <w:szCs w:val="24"/>
          <w:lang w:val="en-RW" w:eastAsia="en-RW"/>
        </w:rPr>
        <w:t>Schilb</w:t>
      </w:r>
      <w:proofErr w:type="spellEnd"/>
      <w:r w:rsidRPr="005E2F8B">
        <w:rPr>
          <w:rFonts w:ascii="Microsoft Sans Serif" w:eastAsia="Times New Roman" w:hAnsi="Microsoft Sans Serif" w:cs="Microsoft Sans Serif"/>
          <w:color w:val="000000"/>
          <w:sz w:val="24"/>
          <w:szCs w:val="24"/>
          <w:lang w:val="en-RW" w:eastAsia="en-RW"/>
        </w:rPr>
        <w:t xml:space="preserve">, Clifford, </w:t>
      </w:r>
      <w:proofErr w:type="spellStart"/>
      <w:r w:rsidRPr="005E2F8B">
        <w:rPr>
          <w:rFonts w:ascii="Microsoft Sans Serif" w:eastAsia="Times New Roman" w:hAnsi="Microsoft Sans Serif" w:cs="Microsoft Sans Serif"/>
          <w:color w:val="000000"/>
          <w:sz w:val="24"/>
          <w:szCs w:val="24"/>
          <w:lang w:val="en-RW" w:eastAsia="en-RW"/>
        </w:rPr>
        <w:t>Faigley</w:t>
      </w:r>
      <w:proofErr w:type="spellEnd"/>
      <w:r w:rsidRPr="005E2F8B">
        <w:rPr>
          <w:rFonts w:ascii="Microsoft Sans Serif" w:eastAsia="Times New Roman" w:hAnsi="Microsoft Sans Serif" w:cs="Microsoft Sans Serif"/>
          <w:color w:val="000000"/>
          <w:sz w:val="24"/>
          <w:szCs w:val="24"/>
          <w:lang w:val="en-RW" w:eastAsia="en-RW"/>
        </w:rPr>
        <w:t>). Ironically, in WAC, we have presumed a clear mission for writing instruction that is not nearly so evident in our own approach to advanced literacy. The paper concludes, then, by offering yet a third model of WAC, one which suggests that students, as well as their instructors, engage in the investigative process of discovering how discursive conventions relate to their discipline's epistemology and consider how that connection limits what can be said or thought within that discourse.</w:t>
      </w:r>
    </w:p>
    <w:p w14:paraId="3B4C2136" w14:textId="35283B64" w:rsidR="001E2B94" w:rsidRPr="005E2F8B" w:rsidRDefault="001E2B94" w:rsidP="001E2B94">
      <w:pPr>
        <w:pStyle w:val="Paragrafoelenco"/>
        <w:numPr>
          <w:ilvl w:val="0"/>
          <w:numId w:val="2"/>
        </w:numPr>
        <w:rPr>
          <w:rFonts w:ascii="Microsoft Sans Serif" w:hAnsi="Microsoft Sans Serif" w:cs="Microsoft Sans Serif"/>
          <w:sz w:val="24"/>
          <w:szCs w:val="24"/>
          <w:lang w:val="en-US"/>
        </w:rPr>
      </w:pPr>
      <w:r w:rsidRPr="005E2F8B">
        <w:rPr>
          <w:rFonts w:ascii="Microsoft Sans Serif" w:hAnsi="Microsoft Sans Serif" w:cs="Microsoft Sans Serif"/>
          <w:color w:val="000000"/>
          <w:sz w:val="24"/>
          <w:szCs w:val="24"/>
          <w:shd w:val="clear" w:color="auto" w:fill="FFFFFF"/>
        </w:rPr>
        <w:lastRenderedPageBreak/>
        <w:t xml:space="preserve">Research reported by Daly, Miller, and their colleagues suggests that writing apprehension is related to </w:t>
      </w:r>
      <w:proofErr w:type="gramStart"/>
      <w:r w:rsidRPr="005E2F8B">
        <w:rPr>
          <w:rFonts w:ascii="Microsoft Sans Serif" w:hAnsi="Microsoft Sans Serif" w:cs="Microsoft Sans Serif"/>
          <w:color w:val="000000"/>
          <w:sz w:val="24"/>
          <w:szCs w:val="24"/>
          <w:shd w:val="clear" w:color="auto" w:fill="FFFFFF"/>
        </w:rPr>
        <w:t>a number of</w:t>
      </w:r>
      <w:proofErr w:type="gramEnd"/>
      <w:r w:rsidRPr="005E2F8B">
        <w:rPr>
          <w:rFonts w:ascii="Microsoft Sans Serif" w:hAnsi="Microsoft Sans Serif" w:cs="Microsoft Sans Serif"/>
          <w:color w:val="000000"/>
          <w:sz w:val="24"/>
          <w:szCs w:val="24"/>
          <w:shd w:val="clear" w:color="auto" w:fill="FFFFFF"/>
        </w:rPr>
        <w:t xml:space="preserve"> factors we do not yet fully understand. This study suggests that included among those factors should be the belief that writing ability is a gift. Giftedness, as it is referred to in the study, is roughly equivalent to the Romantic notion of original genius. Results from a survey of 247 postsecondary students enrolled in introductory writing courses at two institutions indicate that higher levels of belief in giftedness are correlated with higher levels of writing apprehension, lower self-assessments of writing ability, lower levels of confidence in achieving proficiency in certain writing activities and genres, and lower self-assessments of prior experience with writing instructors. Significant differences in levels of belief in giftedness were also found among students who differed in their perceptions of the most important purpose for writing, with students who identified "to express your own feelings about something" as the most important purpose for writing having the highest mean level of belief in giftedness. Although the validity of the notion that writing ability is a special gift is not directly addressed, the results suggest that belief in giftedness may have deleterious effects on student writers.</w:t>
      </w:r>
    </w:p>
    <w:p w14:paraId="637B2EFD" w14:textId="685535F3" w:rsidR="001E2B94" w:rsidRPr="005E2F8B" w:rsidRDefault="001E2B94" w:rsidP="001E2B94">
      <w:pPr>
        <w:pStyle w:val="Paragrafoelenco"/>
        <w:numPr>
          <w:ilvl w:val="0"/>
          <w:numId w:val="2"/>
        </w:numPr>
        <w:rPr>
          <w:rFonts w:ascii="Microsoft Sans Serif" w:hAnsi="Microsoft Sans Serif" w:cs="Microsoft Sans Serif"/>
          <w:sz w:val="24"/>
          <w:szCs w:val="24"/>
          <w:lang w:val="en-US"/>
        </w:rPr>
      </w:pPr>
      <w:r w:rsidRPr="005E2F8B">
        <w:rPr>
          <w:rFonts w:ascii="Microsoft Sans Serif" w:hAnsi="Microsoft Sans Serif" w:cs="Microsoft Sans Serif"/>
          <w:color w:val="333333"/>
          <w:sz w:val="24"/>
          <w:szCs w:val="24"/>
          <w:shd w:val="clear" w:color="auto" w:fill="FFFFFF"/>
        </w:rPr>
        <w:t>The cell phone is ever-present on college campuses and is frequently used in settings where learning occurs. This study assessed the relationship between cell phone use and actual college grade point average (GPA) after controlling for known predictors. As such, 536 undergraduate students from 82 self-reported majors at a large, public university were sampled. A hierarchical regression (</w:t>
      </w:r>
      <w:r w:rsidRPr="005E2F8B">
        <w:rPr>
          <w:rFonts w:ascii="Microsoft Sans Serif" w:hAnsi="Microsoft Sans Serif" w:cs="Microsoft Sans Serif"/>
          <w:i/>
          <w:iCs/>
          <w:color w:val="333333"/>
          <w:sz w:val="24"/>
          <w:szCs w:val="24"/>
          <w:shd w:val="clear" w:color="auto" w:fill="FFFFFF"/>
        </w:rPr>
        <w:t>R</w:t>
      </w:r>
      <w:r w:rsidRPr="005E2F8B">
        <w:rPr>
          <w:rFonts w:ascii="Microsoft Sans Serif" w:hAnsi="Microsoft Sans Serif" w:cs="Microsoft Sans Serif"/>
          <w:color w:val="333333"/>
          <w:sz w:val="24"/>
          <w:szCs w:val="24"/>
          <w:shd w:val="clear" w:color="auto" w:fill="FFFFFF"/>
        </w:rPr>
        <w:t>2 = .449) demonstrated that cell phone use was significantly (</w:t>
      </w:r>
      <w:r w:rsidRPr="005E2F8B">
        <w:rPr>
          <w:rFonts w:ascii="Microsoft Sans Serif" w:hAnsi="Microsoft Sans Serif" w:cs="Microsoft Sans Serif"/>
          <w:i/>
          <w:iCs/>
          <w:color w:val="333333"/>
          <w:sz w:val="24"/>
          <w:szCs w:val="24"/>
          <w:shd w:val="clear" w:color="auto" w:fill="FFFFFF"/>
        </w:rPr>
        <w:t>p</w:t>
      </w:r>
      <w:r w:rsidRPr="005E2F8B">
        <w:rPr>
          <w:rFonts w:ascii="Microsoft Sans Serif" w:hAnsi="Microsoft Sans Serif" w:cs="Microsoft Sans Serif"/>
          <w:color w:val="333333"/>
          <w:sz w:val="24"/>
          <w:szCs w:val="24"/>
          <w:shd w:val="clear" w:color="auto" w:fill="FFFFFF"/>
        </w:rPr>
        <w:t> &lt; .001) and negatively (β = −.164) related to actual college GPA after controlling for demographic variables, self-efficacy for self-regulated learning, self-efficacy for academic achievement, and actual high school GPA, which were all significant predictors (</w:t>
      </w:r>
      <w:r w:rsidRPr="005E2F8B">
        <w:rPr>
          <w:rFonts w:ascii="Microsoft Sans Serif" w:hAnsi="Microsoft Sans Serif" w:cs="Microsoft Sans Serif"/>
          <w:i/>
          <w:iCs/>
          <w:color w:val="333333"/>
          <w:sz w:val="24"/>
          <w:szCs w:val="24"/>
          <w:shd w:val="clear" w:color="auto" w:fill="FFFFFF"/>
        </w:rPr>
        <w:t>p</w:t>
      </w:r>
      <w:r w:rsidRPr="005E2F8B">
        <w:rPr>
          <w:rFonts w:ascii="Microsoft Sans Serif" w:hAnsi="Microsoft Sans Serif" w:cs="Microsoft Sans Serif"/>
          <w:color w:val="333333"/>
          <w:sz w:val="24"/>
          <w:szCs w:val="24"/>
          <w:shd w:val="clear" w:color="auto" w:fill="FFFFFF"/>
        </w:rPr>
        <w:t> &lt; .05). Thus, after controlling for other established predictors, increased cell phone use was associated with decreased academic performance. Although more research is needed to identify the underlying mechanisms, findings suggest a need to sensitize students and educators about the potential academic risks associated with high-frequency cell phone use.</w:t>
      </w:r>
    </w:p>
    <w:p w14:paraId="280390A8" w14:textId="576EDB7A" w:rsidR="001E2B94" w:rsidRPr="005E2F8B" w:rsidRDefault="001E2B94" w:rsidP="001E2B94">
      <w:pPr>
        <w:rPr>
          <w:rFonts w:ascii="Microsoft Sans Serif" w:hAnsi="Microsoft Sans Serif" w:cs="Microsoft Sans Serif"/>
          <w:sz w:val="24"/>
          <w:szCs w:val="24"/>
          <w:lang w:val="en-US"/>
        </w:rPr>
      </w:pPr>
    </w:p>
    <w:p w14:paraId="52E6B282" w14:textId="775B013C" w:rsidR="001E2B94" w:rsidRPr="005E2F8B" w:rsidRDefault="001E2B94" w:rsidP="001E2B94">
      <w:pPr>
        <w:rPr>
          <w:rFonts w:ascii="Microsoft Sans Serif" w:hAnsi="Microsoft Sans Serif" w:cs="Microsoft Sans Serif"/>
          <w:sz w:val="24"/>
          <w:szCs w:val="24"/>
          <w:lang w:val="en-US"/>
        </w:rPr>
      </w:pPr>
    </w:p>
    <w:p w14:paraId="794B5D18" w14:textId="7F3C534A" w:rsidR="001E2B94" w:rsidRDefault="001E2B94" w:rsidP="001E2B94">
      <w:pPr>
        <w:pStyle w:val="Paragrafoelenco"/>
        <w:numPr>
          <w:ilvl w:val="0"/>
          <w:numId w:val="5"/>
        </w:numPr>
        <w:rPr>
          <w:rFonts w:ascii="Microsoft Sans Serif" w:hAnsi="Microsoft Sans Serif" w:cs="Microsoft Sans Serif"/>
          <w:sz w:val="24"/>
          <w:szCs w:val="24"/>
          <w:lang w:val="en-US"/>
        </w:rPr>
      </w:pPr>
      <w:r w:rsidRPr="005E2F8B">
        <w:rPr>
          <w:rFonts w:ascii="Microsoft Sans Serif" w:hAnsi="Microsoft Sans Serif" w:cs="Microsoft Sans Serif"/>
          <w:sz w:val="24"/>
          <w:szCs w:val="24"/>
          <w:lang w:val="en-US"/>
        </w:rPr>
        <w:t xml:space="preserve">Which kind of </w:t>
      </w:r>
      <w:proofErr w:type="spellStart"/>
      <w:r w:rsidRPr="005E2F8B">
        <w:rPr>
          <w:rFonts w:ascii="Microsoft Sans Serif" w:hAnsi="Microsoft Sans Serif" w:cs="Microsoft Sans Serif"/>
          <w:sz w:val="24"/>
          <w:szCs w:val="24"/>
          <w:lang w:val="en-US"/>
        </w:rPr>
        <w:t>Abs</w:t>
      </w:r>
      <w:r w:rsidR="005E2F8B">
        <w:rPr>
          <w:rFonts w:ascii="Microsoft Sans Serif" w:hAnsi="Microsoft Sans Serif" w:cs="Microsoft Sans Serif"/>
          <w:sz w:val="24"/>
          <w:szCs w:val="24"/>
          <w:lang w:val="en-US"/>
        </w:rPr>
        <w:t>t</w:t>
      </w:r>
      <w:r w:rsidRPr="005E2F8B">
        <w:rPr>
          <w:rFonts w:ascii="Microsoft Sans Serif" w:hAnsi="Microsoft Sans Serif" w:cs="Microsoft Sans Serif"/>
          <w:sz w:val="24"/>
          <w:szCs w:val="24"/>
          <w:lang w:val="en-US"/>
        </w:rPr>
        <w:t>rac</w:t>
      </w:r>
      <w:proofErr w:type="spellEnd"/>
      <w:r w:rsidRPr="005E2F8B">
        <w:rPr>
          <w:rFonts w:ascii="Microsoft Sans Serif" w:hAnsi="Microsoft Sans Serif" w:cs="Microsoft Sans Serif"/>
          <w:color w:val="333333"/>
          <w:sz w:val="24"/>
          <w:szCs w:val="24"/>
          <w:shd w:val="clear" w:color="auto" w:fill="FFFFFF"/>
        </w:rPr>
        <w:t>t</w:t>
      </w:r>
      <w:r w:rsidRPr="005E2F8B">
        <w:rPr>
          <w:rFonts w:ascii="Microsoft Sans Serif" w:hAnsi="Microsoft Sans Serif" w:cs="Microsoft Sans Serif"/>
          <w:sz w:val="24"/>
          <w:szCs w:val="24"/>
          <w:lang w:val="en-US"/>
        </w:rPr>
        <w:t xml:space="preserve"> is number 1, 2, 3 and 4?</w:t>
      </w:r>
    </w:p>
    <w:p w14:paraId="485436D1" w14:textId="5ECA6A00" w:rsidR="005E2F8B" w:rsidRDefault="005E2F8B" w:rsidP="005E2F8B">
      <w:pPr>
        <w:pStyle w:val="Paragrafoelenco"/>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1 – It is …..</w:t>
      </w:r>
    </w:p>
    <w:p w14:paraId="16517CF6" w14:textId="2AB0159C" w:rsidR="005E2F8B" w:rsidRDefault="005E2F8B" w:rsidP="005E2F8B">
      <w:pPr>
        <w:pStyle w:val="Paragrafoelenco"/>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2 - It is</w:t>
      </w:r>
    </w:p>
    <w:p w14:paraId="10753878" w14:textId="0182B703" w:rsidR="005E2F8B" w:rsidRDefault="005E2F8B" w:rsidP="005E2F8B">
      <w:pPr>
        <w:pStyle w:val="Paragrafoelenco"/>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3 – It is</w:t>
      </w:r>
    </w:p>
    <w:p w14:paraId="0EB38C70" w14:textId="4268C501" w:rsidR="005E2F8B" w:rsidRPr="005E2F8B" w:rsidRDefault="005E2F8B" w:rsidP="005E2F8B">
      <w:pPr>
        <w:pStyle w:val="Paragrafoelenco"/>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4 – It is</w:t>
      </w:r>
    </w:p>
    <w:p w14:paraId="580449F3" w14:textId="4039D3A5" w:rsidR="001E2B94" w:rsidRPr="005E2F8B" w:rsidRDefault="001E2B94" w:rsidP="001E2B94">
      <w:pPr>
        <w:pStyle w:val="Paragrafoelenco"/>
        <w:numPr>
          <w:ilvl w:val="0"/>
          <w:numId w:val="5"/>
        </w:numPr>
        <w:rPr>
          <w:rFonts w:ascii="Microsoft Sans Serif" w:hAnsi="Microsoft Sans Serif" w:cs="Microsoft Sans Serif"/>
          <w:sz w:val="24"/>
          <w:szCs w:val="24"/>
          <w:lang w:val="en-US"/>
        </w:rPr>
      </w:pPr>
      <w:r w:rsidRPr="005E2F8B">
        <w:rPr>
          <w:rFonts w:ascii="Microsoft Sans Serif" w:hAnsi="Microsoft Sans Serif" w:cs="Microsoft Sans Serif"/>
          <w:sz w:val="24"/>
          <w:szCs w:val="24"/>
          <w:lang w:val="en-US"/>
        </w:rPr>
        <w:t xml:space="preserve">Which is </w:t>
      </w:r>
      <w:r w:rsidRPr="005E2F8B">
        <w:rPr>
          <w:rFonts w:ascii="Microsoft Sans Serif" w:hAnsi="Microsoft Sans Serif" w:cs="Microsoft Sans Serif"/>
          <w:color w:val="333333"/>
          <w:sz w:val="24"/>
          <w:szCs w:val="24"/>
          <w:shd w:val="clear" w:color="auto" w:fill="FFFFFF"/>
        </w:rPr>
        <w:t>t</w:t>
      </w:r>
      <w:r w:rsidRPr="005E2F8B">
        <w:rPr>
          <w:rFonts w:ascii="Microsoft Sans Serif" w:hAnsi="Microsoft Sans Serif" w:cs="Microsoft Sans Serif"/>
          <w:sz w:val="24"/>
          <w:szCs w:val="24"/>
          <w:lang w:val="en-US"/>
        </w:rPr>
        <w:t>he main con</w:t>
      </w:r>
      <w:r w:rsidRPr="005E2F8B">
        <w:rPr>
          <w:rFonts w:ascii="Microsoft Sans Serif" w:hAnsi="Microsoft Sans Serif" w:cs="Microsoft Sans Serif"/>
          <w:color w:val="333333"/>
          <w:sz w:val="24"/>
          <w:szCs w:val="24"/>
          <w:shd w:val="clear" w:color="auto" w:fill="FFFFFF"/>
        </w:rPr>
        <w:t>t</w:t>
      </w:r>
      <w:proofErr w:type="spellStart"/>
      <w:r w:rsidRPr="005E2F8B">
        <w:rPr>
          <w:rFonts w:ascii="Microsoft Sans Serif" w:hAnsi="Microsoft Sans Serif" w:cs="Microsoft Sans Serif"/>
          <w:sz w:val="24"/>
          <w:szCs w:val="24"/>
          <w:lang w:val="en-US"/>
        </w:rPr>
        <w:t>en</w:t>
      </w:r>
      <w:proofErr w:type="spellEnd"/>
      <w:r w:rsidRPr="005E2F8B">
        <w:rPr>
          <w:rFonts w:ascii="Microsoft Sans Serif" w:hAnsi="Microsoft Sans Serif" w:cs="Microsoft Sans Serif"/>
          <w:color w:val="333333"/>
          <w:sz w:val="24"/>
          <w:szCs w:val="24"/>
          <w:shd w:val="clear" w:color="auto" w:fill="FFFFFF"/>
        </w:rPr>
        <w:t>t</w:t>
      </w:r>
      <w:r w:rsidRPr="005E2F8B">
        <w:rPr>
          <w:rFonts w:ascii="Microsoft Sans Serif" w:hAnsi="Microsoft Sans Serif" w:cs="Microsoft Sans Serif"/>
          <w:color w:val="333333"/>
          <w:sz w:val="24"/>
          <w:szCs w:val="24"/>
          <w:shd w:val="clear" w:color="auto" w:fill="FFFFFF"/>
          <w:lang w:val="en-US"/>
        </w:rPr>
        <w:t xml:space="preserve"> of each abstract?</w:t>
      </w:r>
    </w:p>
    <w:p w14:paraId="05792FD8" w14:textId="3D760E4D" w:rsidR="005E2F8B" w:rsidRPr="005E2F8B" w:rsidRDefault="005E2F8B" w:rsidP="005E2F8B">
      <w:pPr>
        <w:pStyle w:val="Paragrafoelenco"/>
        <w:rPr>
          <w:rFonts w:ascii="Microsoft Sans Serif" w:hAnsi="Microsoft Sans Serif" w:cs="Microsoft Sans Serif"/>
          <w:sz w:val="24"/>
          <w:szCs w:val="24"/>
          <w:lang w:val="en-US"/>
        </w:rPr>
      </w:pPr>
      <w:r>
        <w:rPr>
          <w:rFonts w:ascii="Microsoft Sans Serif" w:hAnsi="Microsoft Sans Serif" w:cs="Microsoft Sans Serif"/>
          <w:color w:val="333333"/>
          <w:sz w:val="24"/>
          <w:szCs w:val="24"/>
          <w:shd w:val="clear" w:color="auto" w:fill="FFFFFF"/>
          <w:lang w:val="en-US"/>
        </w:rPr>
        <w:t>(Use not more than 20 words)</w:t>
      </w:r>
    </w:p>
    <w:p w14:paraId="10E8BC90" w14:textId="582FE396" w:rsidR="005E2F8B" w:rsidRPr="005E2F8B" w:rsidRDefault="005E2F8B" w:rsidP="001E2B94">
      <w:pPr>
        <w:pStyle w:val="Paragrafoelenco"/>
        <w:numPr>
          <w:ilvl w:val="0"/>
          <w:numId w:val="5"/>
        </w:numPr>
        <w:rPr>
          <w:rFonts w:ascii="Microsoft Sans Serif" w:hAnsi="Microsoft Sans Serif" w:cs="Microsoft Sans Serif"/>
          <w:sz w:val="24"/>
          <w:szCs w:val="24"/>
          <w:lang w:val="en-US"/>
        </w:rPr>
      </w:pPr>
      <w:r w:rsidRPr="005E2F8B">
        <w:rPr>
          <w:rFonts w:ascii="Microsoft Sans Serif" w:hAnsi="Microsoft Sans Serif" w:cs="Microsoft Sans Serif"/>
          <w:color w:val="333333"/>
          <w:sz w:val="24"/>
          <w:szCs w:val="24"/>
          <w:shd w:val="clear" w:color="auto" w:fill="FFFFFF"/>
          <w:lang w:val="en-US"/>
        </w:rPr>
        <w:t>Can you show which is the evidence for each one of the abstract? Mention only an example taken from the text</w:t>
      </w:r>
    </w:p>
    <w:p w14:paraId="1D4A9651" w14:textId="7E4BCC66" w:rsidR="005E2F8B" w:rsidRPr="005E2F8B" w:rsidRDefault="005E2F8B" w:rsidP="005E2F8B">
      <w:pPr>
        <w:pStyle w:val="Paragrafoelenco"/>
        <w:rPr>
          <w:rFonts w:ascii="Microsoft Sans Serif" w:hAnsi="Microsoft Sans Serif" w:cs="Microsoft Sans Serif"/>
          <w:sz w:val="24"/>
          <w:szCs w:val="24"/>
          <w:lang w:val="en-US"/>
        </w:rPr>
      </w:pPr>
    </w:p>
    <w:sectPr w:rsidR="005E2F8B" w:rsidRPr="005E2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5CFB"/>
    <w:multiLevelType w:val="hybridMultilevel"/>
    <w:tmpl w:val="B6A8C9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AFC13C9"/>
    <w:multiLevelType w:val="hybridMultilevel"/>
    <w:tmpl w:val="DB504EB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E0F4A6A"/>
    <w:multiLevelType w:val="hybridMultilevel"/>
    <w:tmpl w:val="4574F75E"/>
    <w:lvl w:ilvl="0" w:tplc="3CD06384">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4C624A8"/>
    <w:multiLevelType w:val="hybridMultilevel"/>
    <w:tmpl w:val="44945170"/>
    <w:lvl w:ilvl="0" w:tplc="A1E8E8E6">
      <w:start w:val="1"/>
      <w:numFmt w:val="decimal"/>
      <w:lvlText w:val="%1)"/>
      <w:lvlJc w:val="left"/>
      <w:pPr>
        <w:ind w:left="720" w:hanging="360"/>
      </w:pPr>
      <w:rPr>
        <w:rFonts w:ascii="Trebuchet MS" w:hAnsi="Trebuchet MS" w:hint="default"/>
        <w:color w:val="000000"/>
        <w:sz w:val="23"/>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6892DC6"/>
    <w:multiLevelType w:val="hybridMultilevel"/>
    <w:tmpl w:val="9ADC4F1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94"/>
    <w:rsid w:val="001E2B94"/>
    <w:rsid w:val="005E2F8B"/>
    <w:rsid w:val="009D5D57"/>
  </w:rsids>
  <m:mathPr>
    <m:mathFont m:val="Cambria Math"/>
    <m:brkBin m:val="before"/>
    <m:brkBinSub m:val="--"/>
    <m:smallFrac m:val="0"/>
    <m:dispDef/>
    <m:lMargin m:val="0"/>
    <m:rMargin m:val="0"/>
    <m:defJc m:val="centerGroup"/>
    <m:wrapIndent m:val="1440"/>
    <m:intLim m:val="subSup"/>
    <m:naryLim m:val="undOvr"/>
  </m:mathPr>
  <w:themeFontLang w:val="en-R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9944"/>
  <w15:chartTrackingRefBased/>
  <w15:docId w15:val="{8D824ED9-70C7-4C94-A8E0-A3B124AA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R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E2B94"/>
    <w:pPr>
      <w:ind w:left="720"/>
      <w:contextualSpacing/>
    </w:pPr>
  </w:style>
  <w:style w:type="paragraph" w:styleId="NormaleWeb">
    <w:name w:val="Normal (Web)"/>
    <w:basedOn w:val="Normale"/>
    <w:uiPriority w:val="99"/>
    <w:semiHidden/>
    <w:unhideWhenUsed/>
    <w:rsid w:val="001E2B94"/>
    <w:pPr>
      <w:spacing w:before="100" w:beforeAutospacing="1" w:after="100" w:afterAutospacing="1" w:line="240" w:lineRule="auto"/>
    </w:pPr>
    <w:rPr>
      <w:rFonts w:ascii="Times New Roman" w:eastAsia="Times New Roman" w:hAnsi="Times New Roman" w:cs="Times New Roman"/>
      <w:sz w:val="24"/>
      <w:szCs w:val="24"/>
      <w:lang w:val="en-RW" w:eastAsia="en-R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899529">
      <w:bodyDiv w:val="1"/>
      <w:marLeft w:val="0"/>
      <w:marRight w:val="0"/>
      <w:marTop w:val="0"/>
      <w:marBottom w:val="0"/>
      <w:divBdr>
        <w:top w:val="none" w:sz="0" w:space="0" w:color="auto"/>
        <w:left w:val="none" w:sz="0" w:space="0" w:color="auto"/>
        <w:bottom w:val="none" w:sz="0" w:space="0" w:color="auto"/>
        <w:right w:val="none" w:sz="0" w:space="0" w:color="auto"/>
      </w:divBdr>
      <w:divsChild>
        <w:div w:id="1154489618">
          <w:marLeft w:val="0"/>
          <w:marRight w:val="0"/>
          <w:marTop w:val="720"/>
          <w:marBottom w:val="0"/>
          <w:divBdr>
            <w:top w:val="single" w:sz="6" w:space="0" w:color="1A5829"/>
            <w:left w:val="none" w:sz="0" w:space="0" w:color="auto"/>
            <w:bottom w:val="single" w:sz="2" w:space="0" w:color="1A582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809</Words>
  <Characters>4551</Characters>
  <Application>Microsoft Office Word</Application>
  <DocSecurity>0</DocSecurity>
  <Lines>75</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Carmelina Maurizio</dc:creator>
  <cp:keywords/>
  <dc:description/>
  <cp:lastModifiedBy>Carmelina Maurizio</cp:lastModifiedBy>
  <cp:revision>1</cp:revision>
  <dcterms:created xsi:type="dcterms:W3CDTF">2021-04-18T15:19:00Z</dcterms:created>
  <dcterms:modified xsi:type="dcterms:W3CDTF">2021-04-18T15:38:00Z</dcterms:modified>
</cp:coreProperties>
</file>