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8" w:space="0" w:color="DA7812"/>
          <w:left w:val="single" w:sz="8" w:space="0" w:color="DA7812"/>
          <w:bottom w:val="single" w:sz="8" w:space="0" w:color="DA7812"/>
          <w:right w:val="single" w:sz="8" w:space="0" w:color="DA7812"/>
          <w:insideH w:val="single" w:sz="8" w:space="0" w:color="DA7812"/>
          <w:insideV w:val="single" w:sz="8" w:space="0" w:color="DA7812"/>
        </w:tblBorders>
        <w:shd w:val="clear" w:color="auto" w:fill="EBDDB9"/>
        <w:tblLook w:val="04A0" w:firstRow="1" w:lastRow="0" w:firstColumn="1" w:lastColumn="0" w:noHBand="0" w:noVBand="1"/>
      </w:tblPr>
      <w:tblGrid>
        <w:gridCol w:w="1016"/>
        <w:gridCol w:w="5896"/>
        <w:gridCol w:w="2932"/>
        <w:gridCol w:w="576"/>
      </w:tblGrid>
      <w:tr w:rsidR="0022491C" w:rsidRPr="00847821" w:rsidTr="00D23C7A">
        <w:trPr>
          <w:jc w:val="center"/>
        </w:trPr>
        <w:tc>
          <w:tcPr>
            <w:tcW w:w="488" w:type="pct"/>
            <w:shd w:val="clear" w:color="auto" w:fill="DA7812"/>
            <w:vAlign w:val="center"/>
          </w:tcPr>
          <w:p w:rsidR="0022491C" w:rsidRPr="00B96AEE" w:rsidRDefault="0022491C" w:rsidP="002F26D5">
            <w:pPr>
              <w:spacing w:line="240" w:lineRule="auto"/>
              <w:jc w:val="center"/>
              <w:rPr>
                <w:bCs/>
                <w:color w:val="FFFFFF"/>
                <w:sz w:val="16"/>
                <w:szCs w:val="16"/>
              </w:rPr>
            </w:pPr>
            <w:r w:rsidRPr="00B96AEE">
              <w:rPr>
                <w:bCs/>
                <w:color w:val="FFFFFF"/>
                <w:sz w:val="16"/>
                <w:szCs w:val="16"/>
              </w:rPr>
              <w:t>Codice</w:t>
            </w:r>
          </w:p>
        </w:tc>
        <w:tc>
          <w:tcPr>
            <w:tcW w:w="2829" w:type="pct"/>
            <w:shd w:val="clear" w:color="auto" w:fill="DA7812"/>
            <w:vAlign w:val="center"/>
          </w:tcPr>
          <w:p w:rsidR="0022491C" w:rsidRPr="00B96AEE" w:rsidRDefault="00D816B9" w:rsidP="002F26D5">
            <w:pPr>
              <w:spacing w:line="240" w:lineRule="auto"/>
              <w:jc w:val="center"/>
              <w:rPr>
                <w:bCs/>
                <w:color w:val="FFFFFF"/>
                <w:sz w:val="22"/>
                <w:szCs w:val="22"/>
              </w:rPr>
            </w:pPr>
            <w:r>
              <w:rPr>
                <w:bCs/>
                <w:color w:val="FFFFFF"/>
                <w:sz w:val="22"/>
                <w:szCs w:val="22"/>
              </w:rPr>
              <w:t>TIROCINIO</w:t>
            </w:r>
          </w:p>
        </w:tc>
        <w:tc>
          <w:tcPr>
            <w:tcW w:w="1407" w:type="pct"/>
            <w:shd w:val="clear" w:color="auto" w:fill="DA7812"/>
            <w:vAlign w:val="center"/>
          </w:tcPr>
          <w:p w:rsidR="0022491C" w:rsidRPr="00B96AEE" w:rsidRDefault="0022491C" w:rsidP="00D816B9">
            <w:pPr>
              <w:spacing w:line="240" w:lineRule="auto"/>
              <w:jc w:val="center"/>
              <w:rPr>
                <w:bCs/>
                <w:color w:val="FFFFFF"/>
                <w:sz w:val="22"/>
                <w:szCs w:val="22"/>
              </w:rPr>
            </w:pPr>
            <w:r w:rsidRPr="00B96AEE">
              <w:rPr>
                <w:bCs/>
                <w:color w:val="FFFFFF"/>
                <w:sz w:val="22"/>
                <w:szCs w:val="22"/>
              </w:rPr>
              <w:t>DOCENTE</w:t>
            </w:r>
          </w:p>
        </w:tc>
        <w:tc>
          <w:tcPr>
            <w:tcW w:w="276" w:type="pct"/>
            <w:shd w:val="clear" w:color="auto" w:fill="DA7812"/>
            <w:vAlign w:val="center"/>
          </w:tcPr>
          <w:p w:rsidR="0022491C" w:rsidRPr="00B96AEE" w:rsidRDefault="0022491C" w:rsidP="0022491C">
            <w:pPr>
              <w:spacing w:line="240" w:lineRule="auto"/>
              <w:jc w:val="center"/>
              <w:rPr>
                <w:bCs/>
                <w:color w:val="FFFFFF"/>
                <w:sz w:val="22"/>
                <w:szCs w:val="22"/>
              </w:rPr>
            </w:pPr>
            <w:r w:rsidRPr="00B96AEE">
              <w:rPr>
                <w:bCs/>
                <w:color w:val="FFFFFF"/>
                <w:sz w:val="22"/>
                <w:szCs w:val="22"/>
              </w:rPr>
              <w:t>CFU</w:t>
            </w:r>
          </w:p>
        </w:tc>
      </w:tr>
      <w:tr w:rsidR="0022491C" w:rsidRPr="00847821" w:rsidTr="00D23C7A">
        <w:trPr>
          <w:trHeight w:val="283"/>
          <w:jc w:val="center"/>
        </w:trPr>
        <w:tc>
          <w:tcPr>
            <w:tcW w:w="488" w:type="pct"/>
            <w:shd w:val="clear" w:color="auto" w:fill="auto"/>
            <w:vAlign w:val="center"/>
          </w:tcPr>
          <w:p w:rsidR="0022491C" w:rsidRPr="00D71F25" w:rsidRDefault="000F2960" w:rsidP="002F26D5">
            <w:pPr>
              <w:spacing w:line="240" w:lineRule="auto"/>
              <w:jc w:val="center"/>
              <w:rPr>
                <w:bCs/>
                <w:color w:val="8B0801"/>
                <w:sz w:val="16"/>
                <w:szCs w:val="16"/>
              </w:rPr>
            </w:pPr>
            <w:r>
              <w:rPr>
                <w:bCs/>
                <w:color w:val="8B0801"/>
                <w:sz w:val="16"/>
                <w:szCs w:val="16"/>
              </w:rPr>
              <w:t>x</w:t>
            </w:r>
          </w:p>
        </w:tc>
        <w:tc>
          <w:tcPr>
            <w:tcW w:w="2829" w:type="pct"/>
            <w:shd w:val="clear" w:color="auto" w:fill="auto"/>
            <w:vAlign w:val="center"/>
          </w:tcPr>
          <w:p w:rsidR="004B5538" w:rsidRPr="00D71F25" w:rsidRDefault="007052D5" w:rsidP="006E40B9">
            <w:pPr>
              <w:spacing w:line="240" w:lineRule="auto"/>
              <w:jc w:val="center"/>
              <w:rPr>
                <w:b/>
                <w:bCs/>
                <w:color w:val="8B0801"/>
                <w:sz w:val="22"/>
                <w:szCs w:val="22"/>
              </w:rPr>
            </w:pPr>
            <w:r>
              <w:rPr>
                <w:b/>
                <w:bCs/>
                <w:color w:val="8B0801"/>
                <w:sz w:val="22"/>
                <w:szCs w:val="22"/>
              </w:rPr>
              <w:t xml:space="preserve">STORYTELLING: l’arte della narrazione </w:t>
            </w:r>
            <w:r w:rsidR="006E40B9">
              <w:rPr>
                <w:b/>
                <w:bCs/>
                <w:color w:val="8B0801"/>
                <w:sz w:val="22"/>
                <w:szCs w:val="22"/>
              </w:rPr>
              <w:t>di sè</w:t>
            </w:r>
          </w:p>
        </w:tc>
        <w:tc>
          <w:tcPr>
            <w:tcW w:w="1407" w:type="pct"/>
            <w:shd w:val="clear" w:color="auto" w:fill="auto"/>
            <w:vAlign w:val="center"/>
          </w:tcPr>
          <w:p w:rsidR="0022491C" w:rsidRPr="00D71F25" w:rsidRDefault="007052D5" w:rsidP="002F26D5">
            <w:pPr>
              <w:spacing w:line="240" w:lineRule="auto"/>
              <w:jc w:val="center"/>
              <w:rPr>
                <w:color w:val="8B0801"/>
                <w:sz w:val="20"/>
              </w:rPr>
            </w:pPr>
            <w:r>
              <w:rPr>
                <w:color w:val="8B0801"/>
                <w:sz w:val="20"/>
              </w:rPr>
              <w:t>TOLLOT Clelia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22491C" w:rsidRPr="00D71F25" w:rsidRDefault="00DC5E74" w:rsidP="002F26D5">
            <w:pPr>
              <w:spacing w:line="240" w:lineRule="auto"/>
              <w:jc w:val="center"/>
              <w:rPr>
                <w:color w:val="8B0801"/>
                <w:sz w:val="20"/>
              </w:rPr>
            </w:pPr>
            <w:r>
              <w:rPr>
                <w:color w:val="8B0801"/>
                <w:sz w:val="20"/>
              </w:rPr>
              <w:t>3</w:t>
            </w:r>
          </w:p>
        </w:tc>
      </w:tr>
    </w:tbl>
    <w:p w:rsidR="00E7688A" w:rsidRPr="00E458E3" w:rsidRDefault="00E7688A" w:rsidP="00E7688A">
      <w:pPr>
        <w:rPr>
          <w:color w:val="8B0801"/>
          <w:sz w:val="2"/>
          <w:szCs w:val="2"/>
        </w:rPr>
      </w:pP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CellMar>
          <w:top w:w="198" w:type="dxa"/>
        </w:tblCellMar>
        <w:tblLook w:val="04A0" w:firstRow="1" w:lastRow="0" w:firstColumn="1" w:lastColumn="0" w:noHBand="0" w:noVBand="1"/>
      </w:tblPr>
      <w:tblGrid>
        <w:gridCol w:w="1951"/>
        <w:gridCol w:w="8469"/>
      </w:tblGrid>
      <w:tr w:rsidR="00E7688A" w:rsidRPr="00847821" w:rsidTr="002F26D5">
        <w:trPr>
          <w:trHeight w:val="20"/>
          <w:jc w:val="center"/>
        </w:trPr>
        <w:tc>
          <w:tcPr>
            <w:tcW w:w="10420" w:type="dxa"/>
            <w:gridSpan w:val="2"/>
            <w:tcBorders>
              <w:top w:val="nil"/>
              <w:left w:val="nil"/>
              <w:bottom w:val="single" w:sz="24" w:space="0" w:color="DA7812"/>
              <w:right w:val="nil"/>
            </w:tcBorders>
            <w:shd w:val="clear" w:color="auto" w:fill="auto"/>
          </w:tcPr>
          <w:p w:rsidR="00E7688A" w:rsidRPr="00847821" w:rsidRDefault="00E7688A" w:rsidP="002F26D5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</w:tr>
      <w:tr w:rsidR="00A5019F" w:rsidRPr="00847821" w:rsidTr="002F26D5">
        <w:trPr>
          <w:jc w:val="center"/>
        </w:trPr>
        <w:tc>
          <w:tcPr>
            <w:tcW w:w="1951" w:type="dxa"/>
            <w:tcBorders>
              <w:top w:val="single" w:sz="24" w:space="0" w:color="DA7812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A5019F" w:rsidRPr="00847821" w:rsidRDefault="00A5019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 w:rsidRPr="00847821">
              <w:rPr>
                <w:b/>
                <w:bCs/>
                <w:color w:val="DA7812"/>
                <w:sz w:val="18"/>
                <w:szCs w:val="18"/>
              </w:rPr>
              <w:t>OBIETTIVI</w:t>
            </w:r>
          </w:p>
        </w:tc>
        <w:tc>
          <w:tcPr>
            <w:tcW w:w="8469" w:type="dxa"/>
            <w:tcBorders>
              <w:top w:val="single" w:sz="24" w:space="0" w:color="DA7812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A5019F" w:rsidRDefault="006A1BC4" w:rsidP="002F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</w:t>
            </w:r>
            <w:r w:rsidR="002F26D5">
              <w:rPr>
                <w:sz w:val="18"/>
                <w:szCs w:val="18"/>
              </w:rPr>
              <w:t>orizzonte teorico in cui si colloca la proposta di tirocinio è quello del pensiero narrativo e dei percorsi elaborati da diversi studiosi sulla costruzione di storie per lo sviluppo della conoscenza e dalla salute mentale ed emotiva. I principali obiettivi saranno:</w:t>
            </w:r>
          </w:p>
          <w:p w:rsidR="002F26D5" w:rsidRDefault="002F26D5" w:rsidP="002F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conoscere i diversi significati e possibili utilizzi dello storytelling</w:t>
            </w:r>
          </w:p>
          <w:p w:rsidR="002F26D5" w:rsidRDefault="002F26D5" w:rsidP="002F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imparare a usare i libri e le storie per mantenere e ritrovare il proprio benessere psicologico e per affrontare  situazioni problematiche</w:t>
            </w:r>
          </w:p>
          <w:p w:rsidR="002F26D5" w:rsidRPr="00847821" w:rsidRDefault="002F26D5" w:rsidP="002F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sperimentare la scrittura di sé come esperienza conoscitiva ed espressiva.</w:t>
            </w:r>
          </w:p>
        </w:tc>
      </w:tr>
      <w:tr w:rsidR="00A5019F" w:rsidRPr="00847821" w:rsidTr="002F26D5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A5019F" w:rsidRPr="00847821" w:rsidRDefault="00A5019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 w:rsidRPr="00847821">
              <w:rPr>
                <w:b/>
                <w:bCs/>
                <w:color w:val="DA7812"/>
                <w:sz w:val="18"/>
                <w:szCs w:val="18"/>
              </w:rPr>
              <w:t xml:space="preserve">PREREQUISITI </w:t>
            </w: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A5019F" w:rsidRPr="00847821" w:rsidRDefault="00A5019F" w:rsidP="00DC5E74">
            <w:pPr>
              <w:spacing w:after="1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Essere iscritti al </w:t>
            </w:r>
            <w:r w:rsidR="00DC5E74">
              <w:rPr>
                <w:color w:val="000000"/>
                <w:sz w:val="18"/>
                <w:szCs w:val="18"/>
              </w:rPr>
              <w:t>terzo</w:t>
            </w:r>
            <w:r>
              <w:rPr>
                <w:color w:val="000000"/>
                <w:sz w:val="18"/>
                <w:szCs w:val="18"/>
              </w:rPr>
              <w:t xml:space="preserve"> anno </w:t>
            </w:r>
            <w:r w:rsidR="00DC5E74">
              <w:rPr>
                <w:color w:val="000000"/>
                <w:sz w:val="18"/>
                <w:szCs w:val="18"/>
              </w:rPr>
              <w:t>del</w:t>
            </w:r>
            <w:r>
              <w:rPr>
                <w:color w:val="000000"/>
                <w:sz w:val="18"/>
                <w:szCs w:val="18"/>
              </w:rPr>
              <w:t xml:space="preserve"> Corso di Laurea </w:t>
            </w:r>
            <w:r w:rsidR="00DC5E74">
              <w:rPr>
                <w:color w:val="000000"/>
                <w:sz w:val="18"/>
                <w:szCs w:val="18"/>
              </w:rPr>
              <w:t>Triennale</w:t>
            </w:r>
            <w:r>
              <w:rPr>
                <w:color w:val="000000"/>
                <w:sz w:val="18"/>
                <w:szCs w:val="18"/>
              </w:rPr>
              <w:t xml:space="preserve"> in Psicologia</w:t>
            </w:r>
            <w:r w:rsidR="00DC5E74">
              <w:rPr>
                <w:color w:val="000000"/>
                <w:sz w:val="18"/>
                <w:szCs w:val="18"/>
              </w:rPr>
              <w:t xml:space="preserve"> ed avere conseguito almeno 90 crediti</w:t>
            </w:r>
            <w:r>
              <w:rPr>
                <w:color w:val="000000"/>
                <w:sz w:val="18"/>
                <w:szCs w:val="18"/>
              </w:rPr>
              <w:t xml:space="preserve">. Possono presentare domanda gli studenti iscritti </w:t>
            </w:r>
            <w:r w:rsidR="00DC5E74">
              <w:rPr>
                <w:color w:val="000000"/>
                <w:sz w:val="18"/>
                <w:szCs w:val="18"/>
              </w:rPr>
              <w:t>ad anni precedenti</w:t>
            </w:r>
            <w:r>
              <w:rPr>
                <w:color w:val="000000"/>
                <w:sz w:val="18"/>
                <w:szCs w:val="18"/>
              </w:rPr>
              <w:t xml:space="preserve"> che abbiano già conseguito almeno </w:t>
            </w:r>
            <w:r w:rsidR="00DC5E7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 xml:space="preserve">0 </w:t>
            </w:r>
            <w:r w:rsidR="00DC5E74">
              <w:rPr>
                <w:color w:val="000000"/>
                <w:sz w:val="18"/>
                <w:szCs w:val="18"/>
              </w:rPr>
              <w:t>crediti</w:t>
            </w:r>
            <w:r>
              <w:rPr>
                <w:color w:val="000000"/>
                <w:sz w:val="18"/>
                <w:szCs w:val="18"/>
              </w:rPr>
              <w:t xml:space="preserve"> complessivi (esami convalidati da precedente carriera ed esami sostenuti e già registrati).</w:t>
            </w:r>
          </w:p>
        </w:tc>
      </w:tr>
      <w:tr w:rsidR="006E2934" w:rsidRPr="00847821" w:rsidTr="002F26D5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6E2934" w:rsidRPr="00847821" w:rsidRDefault="00D816B9" w:rsidP="006E2934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>
              <w:rPr>
                <w:b/>
                <w:bCs/>
                <w:color w:val="DA7812"/>
                <w:sz w:val="18"/>
                <w:szCs w:val="18"/>
              </w:rPr>
              <w:t>CORSI COLLEGATI</w:t>
            </w:r>
            <w:r w:rsidR="006E2934" w:rsidRPr="00847821">
              <w:rPr>
                <w:b/>
                <w:bCs/>
                <w:color w:val="DA7812"/>
                <w:sz w:val="18"/>
                <w:szCs w:val="18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2F26D5" w:rsidRPr="008251DC" w:rsidRDefault="00A74FA2" w:rsidP="00A74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Psicologia dello sviluppo e dell’educazione, Pedagogia generale, Neuroscienze</w:t>
            </w:r>
          </w:p>
        </w:tc>
      </w:tr>
      <w:tr w:rsidR="00A5019F" w:rsidRPr="00847821" w:rsidTr="002F26D5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A5019F" w:rsidRPr="00847821" w:rsidRDefault="00A5019F" w:rsidP="00D816B9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 w:rsidRPr="00847821">
              <w:rPr>
                <w:b/>
                <w:bCs/>
                <w:color w:val="DA7812"/>
                <w:sz w:val="18"/>
                <w:szCs w:val="18"/>
              </w:rPr>
              <w:t>CONTENUTI</w:t>
            </w: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6E40B9" w:rsidRPr="006E40B9" w:rsidRDefault="002F26D5" w:rsidP="006E40B9">
            <w:pPr>
              <w:pStyle w:val="Paragrafoelenco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6E40B9">
              <w:rPr>
                <w:color w:val="000000"/>
                <w:sz w:val="18"/>
                <w:szCs w:val="18"/>
              </w:rPr>
              <w:t>Linee generali sul pensiero narrativo e sulle sue applicazioni</w:t>
            </w:r>
            <w:r w:rsidR="006E40B9">
              <w:rPr>
                <w:color w:val="000000"/>
                <w:sz w:val="18"/>
                <w:szCs w:val="18"/>
              </w:rPr>
              <w:t>.</w:t>
            </w:r>
          </w:p>
          <w:p w:rsidR="00644D4B" w:rsidRPr="006E40B9" w:rsidRDefault="006E40B9" w:rsidP="006E40B9">
            <w:pPr>
              <w:pStyle w:val="Paragrafoelenco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6E40B9">
              <w:rPr>
                <w:color w:val="000000"/>
                <w:sz w:val="18"/>
                <w:szCs w:val="18"/>
              </w:rPr>
              <w:t>La scrittura autobiografica per la crescita, la formazione armonica, il cambiamento e la cura di sé.</w:t>
            </w:r>
          </w:p>
          <w:p w:rsidR="002F26D5" w:rsidRPr="006E40B9" w:rsidRDefault="002F26D5" w:rsidP="006E40B9">
            <w:pPr>
              <w:pStyle w:val="Paragrafoelenco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6E40B9">
              <w:rPr>
                <w:color w:val="000000"/>
                <w:sz w:val="18"/>
                <w:szCs w:val="18"/>
              </w:rPr>
              <w:t>La pratica della lettura e della narrazione di storie</w:t>
            </w:r>
            <w:r w:rsidR="006E40B9">
              <w:rPr>
                <w:color w:val="000000"/>
                <w:sz w:val="18"/>
                <w:szCs w:val="18"/>
              </w:rPr>
              <w:t>.</w:t>
            </w:r>
            <w:r w:rsidRPr="006E40B9">
              <w:rPr>
                <w:color w:val="000000"/>
                <w:sz w:val="18"/>
                <w:szCs w:val="18"/>
              </w:rPr>
              <w:t xml:space="preserve"> </w:t>
            </w:r>
          </w:p>
          <w:p w:rsidR="00BB7C0A" w:rsidRPr="006E40B9" w:rsidRDefault="00BB7C0A" w:rsidP="006E40B9">
            <w:pPr>
              <w:pStyle w:val="Paragrafoelenco"/>
              <w:numPr>
                <w:ilvl w:val="0"/>
                <w:numId w:val="9"/>
              </w:numPr>
              <w:rPr>
                <w:color w:val="000000"/>
                <w:sz w:val="18"/>
                <w:szCs w:val="18"/>
              </w:rPr>
            </w:pPr>
            <w:r w:rsidRPr="006E40B9">
              <w:rPr>
                <w:color w:val="000000"/>
                <w:sz w:val="18"/>
                <w:szCs w:val="18"/>
              </w:rPr>
              <w:t xml:space="preserve">I </w:t>
            </w:r>
            <w:r w:rsidRPr="006E40B9">
              <w:rPr>
                <w:i/>
                <w:color w:val="000000"/>
                <w:sz w:val="18"/>
                <w:szCs w:val="18"/>
              </w:rPr>
              <w:t>colouring books</w:t>
            </w:r>
            <w:r w:rsidRPr="006E40B9">
              <w:rPr>
                <w:color w:val="000000"/>
                <w:sz w:val="18"/>
                <w:szCs w:val="18"/>
              </w:rPr>
              <w:t xml:space="preserve"> </w:t>
            </w:r>
            <w:r w:rsidR="006E40B9">
              <w:rPr>
                <w:color w:val="000000"/>
                <w:sz w:val="18"/>
                <w:szCs w:val="18"/>
              </w:rPr>
              <w:t xml:space="preserve">e i </w:t>
            </w:r>
            <w:r w:rsidR="006E40B9" w:rsidRPr="006E40B9">
              <w:rPr>
                <w:i/>
                <w:color w:val="000000"/>
                <w:sz w:val="18"/>
                <w:szCs w:val="18"/>
              </w:rPr>
              <w:t>silent book</w:t>
            </w:r>
            <w:r w:rsidR="006E40B9">
              <w:rPr>
                <w:color w:val="000000"/>
                <w:sz w:val="18"/>
                <w:szCs w:val="18"/>
              </w:rPr>
              <w:t xml:space="preserve"> </w:t>
            </w:r>
            <w:r w:rsidRPr="006E40B9">
              <w:rPr>
                <w:color w:val="000000"/>
                <w:sz w:val="18"/>
                <w:szCs w:val="18"/>
              </w:rPr>
              <w:t>come strumento conoscitivo ed espressivo</w:t>
            </w:r>
            <w:r w:rsidR="006E40B9">
              <w:rPr>
                <w:color w:val="000000"/>
                <w:sz w:val="18"/>
                <w:szCs w:val="18"/>
              </w:rPr>
              <w:t>.</w:t>
            </w:r>
          </w:p>
          <w:p w:rsidR="007052D5" w:rsidRDefault="007052D5" w:rsidP="007052D5">
            <w:pPr>
              <w:rPr>
                <w:color w:val="000000"/>
                <w:sz w:val="18"/>
                <w:szCs w:val="18"/>
              </w:rPr>
            </w:pPr>
          </w:p>
          <w:p w:rsidR="007052D5" w:rsidRPr="000D2815" w:rsidRDefault="007052D5" w:rsidP="007052D5">
            <w:pPr>
              <w:rPr>
                <w:color w:val="000000"/>
                <w:sz w:val="18"/>
                <w:szCs w:val="18"/>
              </w:rPr>
            </w:pPr>
          </w:p>
        </w:tc>
      </w:tr>
      <w:tr w:rsidR="00A5019F" w:rsidRPr="00847821" w:rsidTr="000D2815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A5019F" w:rsidRPr="00847821" w:rsidRDefault="00A5019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 w:rsidRPr="00847821">
              <w:rPr>
                <w:b/>
                <w:bCs/>
                <w:color w:val="DA7812"/>
                <w:sz w:val="18"/>
                <w:szCs w:val="18"/>
              </w:rPr>
              <w:t xml:space="preserve">METODOLOGIA DIDATTICA </w:t>
            </w:r>
          </w:p>
          <w:p w:rsidR="00A5019F" w:rsidRPr="00847821" w:rsidRDefault="00A5019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A5019F" w:rsidRPr="00224224" w:rsidRDefault="00A5019F" w:rsidP="002F26D5">
            <w:pPr>
              <w:rPr>
                <w:b/>
                <w:caps/>
                <w:sz w:val="18"/>
                <w:szCs w:val="18"/>
              </w:rPr>
            </w:pPr>
            <w:r w:rsidRPr="00224224">
              <w:rPr>
                <w:b/>
                <w:sz w:val="18"/>
                <w:szCs w:val="18"/>
              </w:rPr>
              <w:t xml:space="preserve">Strutturazione </w:t>
            </w:r>
            <w:r>
              <w:rPr>
                <w:b/>
                <w:sz w:val="18"/>
                <w:szCs w:val="18"/>
              </w:rPr>
              <w:t>attività f</w:t>
            </w:r>
            <w:r w:rsidRPr="00224224">
              <w:rPr>
                <w:b/>
                <w:sz w:val="18"/>
                <w:szCs w:val="18"/>
              </w:rPr>
              <w:t>ormativa</w:t>
            </w:r>
          </w:p>
          <w:p w:rsidR="00A5019F" w:rsidRPr="00847821" w:rsidRDefault="00A5019F" w:rsidP="002F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 in presenza del Docente Tutor</w:t>
            </w:r>
            <w:r w:rsidRPr="00847821">
              <w:rPr>
                <w:sz w:val="18"/>
                <w:szCs w:val="18"/>
              </w:rPr>
              <w:t xml:space="preserve">: </w:t>
            </w:r>
            <w:r w:rsidR="00DC5E74">
              <w:rPr>
                <w:sz w:val="18"/>
                <w:szCs w:val="18"/>
              </w:rPr>
              <w:t>24</w:t>
            </w:r>
            <w:r w:rsidRPr="00847821">
              <w:rPr>
                <w:sz w:val="18"/>
                <w:szCs w:val="18"/>
              </w:rPr>
              <w:t xml:space="preserve"> ore</w:t>
            </w:r>
          </w:p>
          <w:p w:rsidR="00A5019F" w:rsidRDefault="00A5019F" w:rsidP="002F2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Attività di lavoro individuale e/o di gruppo</w:t>
            </w:r>
            <w:r w:rsidRPr="00847821">
              <w:rPr>
                <w:sz w:val="18"/>
                <w:szCs w:val="18"/>
              </w:rPr>
              <w:t xml:space="preserve">: </w:t>
            </w:r>
            <w:r w:rsidR="00DC5E74">
              <w:rPr>
                <w:sz w:val="18"/>
                <w:szCs w:val="18"/>
              </w:rPr>
              <w:t>51</w:t>
            </w:r>
            <w:r w:rsidRPr="00847821">
              <w:rPr>
                <w:sz w:val="18"/>
                <w:szCs w:val="18"/>
              </w:rPr>
              <w:t xml:space="preserve"> ore</w:t>
            </w:r>
            <w:r>
              <w:rPr>
                <w:sz w:val="18"/>
                <w:szCs w:val="18"/>
              </w:rPr>
              <w:t xml:space="preserve"> </w:t>
            </w:r>
          </w:p>
          <w:p w:rsidR="00A5019F" w:rsidRDefault="00A5019F" w:rsidP="002F26D5">
            <w:pPr>
              <w:rPr>
                <w:sz w:val="18"/>
                <w:szCs w:val="18"/>
              </w:rPr>
            </w:pPr>
          </w:p>
          <w:p w:rsidR="00A5019F" w:rsidRDefault="00A5019F" w:rsidP="002F26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Metodologia didattica</w:t>
            </w:r>
          </w:p>
          <w:p w:rsidR="00BB7C0A" w:rsidRPr="00BB7C0A" w:rsidRDefault="00BB7C0A" w:rsidP="002F26D5">
            <w:pPr>
              <w:rPr>
                <w:sz w:val="18"/>
                <w:szCs w:val="18"/>
              </w:rPr>
            </w:pPr>
            <w:r w:rsidRPr="00BB7C0A">
              <w:rPr>
                <w:sz w:val="18"/>
                <w:szCs w:val="18"/>
              </w:rPr>
              <w:t>Og</w:t>
            </w:r>
            <w:r>
              <w:rPr>
                <w:sz w:val="18"/>
                <w:szCs w:val="18"/>
              </w:rPr>
              <w:t>ni attività prevede</w:t>
            </w:r>
            <w:r w:rsidR="00644D4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oltre a quadri teorici essenziali e lettura di testi</w:t>
            </w:r>
            <w:r w:rsidR="00644D4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il ricorso a momenti</w:t>
            </w:r>
            <w:r w:rsidR="00644D4B">
              <w:rPr>
                <w:sz w:val="18"/>
                <w:szCs w:val="18"/>
              </w:rPr>
              <w:t xml:space="preserve"> altamente</w:t>
            </w:r>
            <w:r w:rsidR="00A74FA2">
              <w:rPr>
                <w:sz w:val="18"/>
                <w:szCs w:val="18"/>
              </w:rPr>
              <w:t xml:space="preserve"> interattivi. Sarà utilizzata tra le altre,</w:t>
            </w:r>
            <w:r>
              <w:rPr>
                <w:sz w:val="18"/>
                <w:szCs w:val="18"/>
              </w:rPr>
              <w:t xml:space="preserve"> la metodologia del </w:t>
            </w:r>
            <w:r>
              <w:rPr>
                <w:i/>
                <w:sz w:val="18"/>
                <w:szCs w:val="18"/>
              </w:rPr>
              <w:t>cooperative learning</w:t>
            </w:r>
            <w:r>
              <w:rPr>
                <w:sz w:val="18"/>
                <w:szCs w:val="18"/>
              </w:rPr>
              <w:t xml:space="preserve"> e del lavoro di gruppo. Verrà chiesto di scrivere e condividere frammenti di scrittura autobiografica con attenzione non tanto alla verità dei fatti ma a quella emotiva. Sono previste una o più uscite sul territorio cittadino e incontri con differenti figure di operatori ed esperti impegnati nello storytelling e nella promozione dell’educazione alla lettura per tutte le età.</w:t>
            </w:r>
          </w:p>
          <w:p w:rsidR="00A5019F" w:rsidRDefault="00A5019F" w:rsidP="002F26D5">
            <w:pPr>
              <w:rPr>
                <w:sz w:val="18"/>
                <w:szCs w:val="18"/>
              </w:rPr>
            </w:pPr>
          </w:p>
          <w:p w:rsidR="00A5019F" w:rsidRDefault="00A5019F" w:rsidP="002F26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Impegni dello studente</w:t>
            </w:r>
          </w:p>
          <w:p w:rsidR="002B1969" w:rsidRPr="002B1969" w:rsidRDefault="002B1969" w:rsidP="002F26D5">
            <w:pPr>
              <w:rPr>
                <w:sz w:val="18"/>
                <w:szCs w:val="18"/>
              </w:rPr>
            </w:pPr>
            <w:r w:rsidRPr="002B1969">
              <w:rPr>
                <w:sz w:val="18"/>
                <w:szCs w:val="18"/>
              </w:rPr>
              <w:t>Ai partecipanti saranno assegnati compiti di lettura, riflessione</w:t>
            </w:r>
            <w:r w:rsidR="006A4E55">
              <w:rPr>
                <w:sz w:val="18"/>
                <w:szCs w:val="18"/>
              </w:rPr>
              <w:t>, approfondimenti</w:t>
            </w:r>
            <w:r w:rsidRPr="002B1969">
              <w:rPr>
                <w:sz w:val="18"/>
                <w:szCs w:val="18"/>
              </w:rPr>
              <w:t xml:space="preserve"> e scrittura</w:t>
            </w:r>
            <w:r>
              <w:rPr>
                <w:sz w:val="18"/>
                <w:szCs w:val="18"/>
              </w:rPr>
              <w:t>. Gli incontri in presenza prevedono la partec</w:t>
            </w:r>
            <w:r w:rsidR="006A4E55">
              <w:rPr>
                <w:sz w:val="18"/>
                <w:szCs w:val="18"/>
              </w:rPr>
              <w:t xml:space="preserve">ipazione attiva, consapevole e </w:t>
            </w:r>
            <w:r>
              <w:rPr>
                <w:sz w:val="18"/>
                <w:szCs w:val="18"/>
              </w:rPr>
              <w:t xml:space="preserve">critica alle esperienze proposte. Parte integrante del tirocinio sarà la preparazione ed esposizione di un </w:t>
            </w:r>
            <w:r w:rsidR="006A1BC4">
              <w:rPr>
                <w:i/>
                <w:sz w:val="18"/>
                <w:szCs w:val="18"/>
              </w:rPr>
              <w:t>pro</w:t>
            </w:r>
            <w:r w:rsidR="00644D4B">
              <w:rPr>
                <w:i/>
                <w:sz w:val="18"/>
                <w:szCs w:val="18"/>
              </w:rPr>
              <w:t>j</w:t>
            </w:r>
            <w:r w:rsidRPr="002B1969">
              <w:rPr>
                <w:i/>
                <w:sz w:val="18"/>
                <w:szCs w:val="18"/>
              </w:rPr>
              <w:t>ekt work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 concordare preventivamente con la docente tutor.</w:t>
            </w:r>
          </w:p>
          <w:p w:rsidR="002B1969" w:rsidRDefault="002B1969" w:rsidP="002F26D5">
            <w:pPr>
              <w:rPr>
                <w:b/>
                <w:sz w:val="18"/>
                <w:szCs w:val="18"/>
              </w:rPr>
            </w:pPr>
          </w:p>
          <w:p w:rsidR="006E40B9" w:rsidRDefault="006A4E55" w:rsidP="006E40B9">
            <w:pPr>
              <w:rPr>
                <w:sz w:val="18"/>
                <w:szCs w:val="18"/>
              </w:rPr>
            </w:pPr>
            <w:r w:rsidRPr="002347CB">
              <w:rPr>
                <w:b/>
                <w:sz w:val="18"/>
                <w:szCs w:val="18"/>
              </w:rPr>
              <w:t>Richieste speciali</w:t>
            </w:r>
            <w:r>
              <w:rPr>
                <w:sz w:val="18"/>
                <w:szCs w:val="18"/>
              </w:rPr>
              <w:t xml:space="preserve">: </w:t>
            </w:r>
            <w:r w:rsidRPr="006A4E55">
              <w:rPr>
                <w:sz w:val="18"/>
                <w:szCs w:val="18"/>
              </w:rPr>
              <w:t>Saran</w:t>
            </w:r>
            <w:r w:rsidR="006E40B9">
              <w:rPr>
                <w:sz w:val="18"/>
                <w:szCs w:val="18"/>
              </w:rPr>
              <w:t xml:space="preserve">no richieste 24 matite colorate e la lettura del testo di Duccio Demetrio </w:t>
            </w:r>
            <w:r w:rsidR="006E40B9" w:rsidRPr="00767C9E">
              <w:rPr>
                <w:i/>
                <w:sz w:val="18"/>
                <w:szCs w:val="18"/>
              </w:rPr>
              <w:t>“Raccontarsi. L’autobiografia come cura di sé”</w:t>
            </w:r>
            <w:r w:rsidR="006E40B9">
              <w:rPr>
                <w:sz w:val="18"/>
                <w:szCs w:val="18"/>
              </w:rPr>
              <w:t>,</w:t>
            </w:r>
            <w:r w:rsidR="00767C9E">
              <w:rPr>
                <w:sz w:val="18"/>
                <w:szCs w:val="18"/>
              </w:rPr>
              <w:t xml:space="preserve"> Cortina Raffaello, </w:t>
            </w:r>
            <w:r w:rsidR="00CF71A3">
              <w:rPr>
                <w:sz w:val="18"/>
                <w:szCs w:val="18"/>
              </w:rPr>
              <w:t xml:space="preserve">Milano, </w:t>
            </w:r>
            <w:r w:rsidR="00767C9E">
              <w:rPr>
                <w:sz w:val="18"/>
                <w:szCs w:val="18"/>
              </w:rPr>
              <w:t>1996</w:t>
            </w:r>
            <w:r w:rsidR="001332CC">
              <w:rPr>
                <w:sz w:val="18"/>
                <w:szCs w:val="18"/>
              </w:rPr>
              <w:t>.</w:t>
            </w:r>
          </w:p>
          <w:p w:rsidR="00E207C1" w:rsidRDefault="001332CC" w:rsidP="006E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disponibilità a non usare cellulare o altri dispositivi elettronici durante le ore di </w:t>
            </w:r>
          </w:p>
          <w:p w:rsidR="001332CC" w:rsidRPr="006A4E55" w:rsidRDefault="001332CC" w:rsidP="006E40B9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presenza in aula.</w:t>
            </w:r>
          </w:p>
          <w:p w:rsidR="00A5019F" w:rsidRPr="006A4E55" w:rsidRDefault="00A5019F" w:rsidP="002347CB">
            <w:pPr>
              <w:rPr>
                <w:sz w:val="18"/>
                <w:szCs w:val="18"/>
              </w:rPr>
            </w:pPr>
          </w:p>
        </w:tc>
      </w:tr>
      <w:tr w:rsidR="00A5019F" w:rsidRPr="00847821" w:rsidTr="000D2815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A5019F" w:rsidRPr="00847821" w:rsidRDefault="00A5019F" w:rsidP="00D816B9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 w:rsidRPr="00847821">
              <w:rPr>
                <w:b/>
                <w:bCs/>
                <w:color w:val="DA7812"/>
                <w:sz w:val="18"/>
                <w:szCs w:val="18"/>
              </w:rPr>
              <w:t>MODALITÀ D</w:t>
            </w:r>
            <w:r>
              <w:rPr>
                <w:b/>
                <w:bCs/>
                <w:color w:val="DA7812"/>
                <w:sz w:val="18"/>
                <w:szCs w:val="18"/>
              </w:rPr>
              <w:t>I VALUTAZIONE</w:t>
            </w:r>
          </w:p>
          <w:p w:rsidR="00A5019F" w:rsidRPr="00847821" w:rsidRDefault="00A5019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A5019F" w:rsidRDefault="00A5019F" w:rsidP="002F26D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L’accertamento dell’attività formativa di tirocinio (con esito Approvato / Non approvato) </w:t>
            </w:r>
            <w:r>
              <w:rPr>
                <w:sz w:val="18"/>
                <w:szCs w:val="18"/>
              </w:rPr>
              <w:t xml:space="preserve">avverrà attraverso </w:t>
            </w:r>
            <w:r w:rsidR="006A4E55">
              <w:rPr>
                <w:sz w:val="18"/>
                <w:szCs w:val="18"/>
              </w:rPr>
              <w:t xml:space="preserve">la valutazione della partecipazione </w:t>
            </w:r>
            <w:r w:rsidR="00767C9E">
              <w:rPr>
                <w:sz w:val="18"/>
                <w:szCs w:val="18"/>
              </w:rPr>
              <w:t xml:space="preserve">attiva </w:t>
            </w:r>
            <w:r w:rsidR="006A4E55">
              <w:rPr>
                <w:sz w:val="18"/>
                <w:szCs w:val="18"/>
              </w:rPr>
              <w:t>in aula alle varie attività proposte e di un project work finale da esporre.</w:t>
            </w:r>
          </w:p>
          <w:p w:rsidR="00A5019F" w:rsidRDefault="00A5019F" w:rsidP="002F26D5">
            <w:pPr>
              <w:rPr>
                <w:sz w:val="18"/>
                <w:szCs w:val="18"/>
              </w:rPr>
            </w:pPr>
          </w:p>
          <w:p w:rsidR="00A5019F" w:rsidRPr="00125407" w:rsidRDefault="00A5019F" w:rsidP="002F26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Criteri di valutazione</w:t>
            </w:r>
          </w:p>
          <w:p w:rsidR="00A5019F" w:rsidRDefault="00A5019F" w:rsidP="002F26D5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Frequenza obbligatoria: almeno 80% delle ore svolte in presenza del Docente Tutor.</w:t>
            </w:r>
          </w:p>
          <w:p w:rsidR="00A5019F" w:rsidRPr="00125407" w:rsidRDefault="00A5019F" w:rsidP="002F26D5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Partecipazione attiva e impegno profuso dallo studente durante le attività formative proposte.</w:t>
            </w:r>
          </w:p>
          <w:p w:rsidR="00A5019F" w:rsidRPr="008F3452" w:rsidRDefault="00A5019F" w:rsidP="002F26D5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sz w:val="18"/>
                <w:szCs w:val="18"/>
              </w:rPr>
            </w:pPr>
            <w:r w:rsidRPr="00DF5CEE">
              <w:rPr>
                <w:color w:val="000000"/>
                <w:sz w:val="18"/>
                <w:szCs w:val="18"/>
              </w:rPr>
              <w:t xml:space="preserve">Capacità di </w:t>
            </w:r>
            <w:r>
              <w:rPr>
                <w:color w:val="000000"/>
                <w:sz w:val="18"/>
                <w:szCs w:val="18"/>
              </w:rPr>
              <w:t xml:space="preserve">porsi quesiti e </w:t>
            </w:r>
            <w:r w:rsidRPr="00DF5CEE">
              <w:rPr>
                <w:color w:val="000000"/>
                <w:sz w:val="18"/>
                <w:szCs w:val="18"/>
              </w:rPr>
              <w:t>di contestualizzare le conoscenze teoriche</w:t>
            </w:r>
            <w:r>
              <w:rPr>
                <w:color w:val="000000"/>
                <w:sz w:val="18"/>
                <w:szCs w:val="18"/>
              </w:rPr>
              <w:t>-pratiche acquisite.</w:t>
            </w:r>
          </w:p>
          <w:p w:rsidR="002347CB" w:rsidRPr="008C33D8" w:rsidRDefault="002347CB" w:rsidP="002347CB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Disponibilità a lasciarsi coinvolgere nelle attività proposte. </w:t>
            </w:r>
          </w:p>
          <w:p w:rsidR="00A5019F" w:rsidRDefault="002347CB" w:rsidP="002F26D5">
            <w:pPr>
              <w:pStyle w:val="Paragrafoelenco"/>
              <w:numPr>
                <w:ilvl w:val="0"/>
                <w:numId w:val="8"/>
              </w:numPr>
              <w:ind w:left="284" w:hanging="284"/>
              <w:rPr>
                <w:sz w:val="18"/>
                <w:szCs w:val="18"/>
              </w:rPr>
            </w:pPr>
            <w:r w:rsidRPr="002347CB">
              <w:rPr>
                <w:color w:val="000000"/>
                <w:sz w:val="18"/>
                <w:szCs w:val="18"/>
              </w:rPr>
              <w:t xml:space="preserve">Conoscenza delle principali dimensioni dell’esperienza di storytelling come pratica di benessere e dei suoi </w:t>
            </w:r>
            <w:r>
              <w:rPr>
                <w:sz w:val="18"/>
                <w:szCs w:val="18"/>
              </w:rPr>
              <w:t>principali ambiti applicativi.</w:t>
            </w:r>
          </w:p>
          <w:p w:rsidR="002347CB" w:rsidRPr="002347CB" w:rsidRDefault="002347CB" w:rsidP="002347CB">
            <w:pPr>
              <w:pStyle w:val="Paragrafoelenco"/>
              <w:ind w:left="284"/>
              <w:rPr>
                <w:sz w:val="18"/>
                <w:szCs w:val="18"/>
              </w:rPr>
            </w:pPr>
          </w:p>
          <w:p w:rsidR="00A5019F" w:rsidRPr="00FA0B22" w:rsidRDefault="00A5019F" w:rsidP="002F26D5">
            <w:pPr>
              <w:rPr>
                <w:b/>
                <w:sz w:val="18"/>
                <w:szCs w:val="18"/>
              </w:rPr>
            </w:pPr>
            <w:r w:rsidRPr="00FA0B22">
              <w:rPr>
                <w:b/>
                <w:sz w:val="18"/>
                <w:szCs w:val="18"/>
              </w:rPr>
              <w:t>Certificazione del tirocinio</w:t>
            </w:r>
          </w:p>
          <w:p w:rsidR="00A5019F" w:rsidRPr="008F3452" w:rsidRDefault="00A5019F" w:rsidP="00DC5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 certificazione del tirocinio dovrà essere effettuata durante l’ultimo incontro o in altra data indicata dal Docente Tutor. Lo studente è tenuto a presentarsi munito dell’apposito modulo per la certificazione di svolgimento del tirocinio (scaricabile dal sito web </w:t>
            </w:r>
            <w:hyperlink r:id="rId8" w:history="1">
              <w:r w:rsidRPr="00D543DC">
                <w:rPr>
                  <w:rStyle w:val="Collegamentoipertestuale"/>
                  <w:color w:val="C00000"/>
                  <w:sz w:val="18"/>
                  <w:szCs w:val="18"/>
                  <w:u w:val="none"/>
                </w:rPr>
                <w:t>www.ius.to</w:t>
              </w:r>
            </w:hyperlink>
            <w:r>
              <w:rPr>
                <w:sz w:val="18"/>
                <w:szCs w:val="18"/>
              </w:rPr>
              <w:t xml:space="preserve"> alla pagina Segreteria &gt; </w:t>
            </w:r>
            <w:r w:rsidR="00DC5E74">
              <w:rPr>
                <w:sz w:val="18"/>
                <w:szCs w:val="18"/>
              </w:rPr>
              <w:t xml:space="preserve">Studenti </w:t>
            </w:r>
            <w:r>
              <w:rPr>
                <w:sz w:val="18"/>
                <w:szCs w:val="18"/>
              </w:rPr>
              <w:t>Psicologia &gt; Tirocini</w:t>
            </w:r>
            <w:r w:rsidR="00DC5E74">
              <w:rPr>
                <w:sz w:val="18"/>
                <w:szCs w:val="18"/>
              </w:rPr>
              <w:t>o Triennale</w:t>
            </w:r>
            <w:r>
              <w:rPr>
                <w:sz w:val="18"/>
                <w:szCs w:val="18"/>
              </w:rPr>
              <w:t xml:space="preserve">). </w:t>
            </w:r>
          </w:p>
        </w:tc>
      </w:tr>
      <w:tr w:rsidR="00A5019F" w:rsidRPr="00847821" w:rsidTr="00A5019F">
        <w:trPr>
          <w:trHeight w:val="1352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A5019F" w:rsidRPr="00847821" w:rsidRDefault="00A5019F" w:rsidP="00BF4372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 w:rsidRPr="00847821">
              <w:rPr>
                <w:b/>
                <w:bCs/>
                <w:color w:val="DA7812"/>
                <w:sz w:val="18"/>
                <w:szCs w:val="18"/>
              </w:rPr>
              <w:lastRenderedPageBreak/>
              <w:t>BIBLIOGRAFIA</w:t>
            </w:r>
          </w:p>
          <w:p w:rsidR="00A5019F" w:rsidRPr="00847821" w:rsidRDefault="00A5019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2723A2" w:rsidRPr="00F3282F" w:rsidRDefault="002723A2" w:rsidP="0027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Andruetto M.T., </w:t>
            </w:r>
            <w:r w:rsidRPr="00F3282F">
              <w:rPr>
                <w:i/>
                <w:sz w:val="18"/>
                <w:szCs w:val="18"/>
              </w:rPr>
              <w:t xml:space="preserve">Per una letteratura senza aggettivi, </w:t>
            </w:r>
            <w:r>
              <w:rPr>
                <w:sz w:val="18"/>
                <w:szCs w:val="18"/>
              </w:rPr>
              <w:t>Equilibri, Modena 2014</w:t>
            </w:r>
          </w:p>
          <w:p w:rsidR="002723A2" w:rsidRDefault="002723A2" w:rsidP="0027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Barbero C., </w:t>
            </w:r>
            <w:r w:rsidRPr="00767C9E">
              <w:rPr>
                <w:i/>
                <w:sz w:val="18"/>
                <w:szCs w:val="18"/>
              </w:rPr>
              <w:t>La biblioteca delle emozioni</w:t>
            </w:r>
            <w:r>
              <w:rPr>
                <w:sz w:val="18"/>
                <w:szCs w:val="18"/>
              </w:rPr>
              <w:t>, Ponte alle Grazie, Milano, 2012</w:t>
            </w:r>
          </w:p>
          <w:p w:rsidR="002723A2" w:rsidRDefault="008448DE" w:rsidP="0027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Bertho</w:t>
            </w:r>
            <w:r w:rsidR="002723A2">
              <w:rPr>
                <w:sz w:val="18"/>
                <w:szCs w:val="18"/>
              </w:rPr>
              <w:t xml:space="preserve">ud E., Elderkin S., </w:t>
            </w:r>
            <w:r w:rsidR="002723A2" w:rsidRPr="009913A3">
              <w:rPr>
                <w:i/>
                <w:sz w:val="18"/>
                <w:szCs w:val="18"/>
              </w:rPr>
              <w:t>Curarsi con i libri. Rimedi letterari per ogni malanno</w:t>
            </w:r>
            <w:r w:rsidR="002723A2">
              <w:rPr>
                <w:sz w:val="18"/>
                <w:szCs w:val="18"/>
              </w:rPr>
              <w:t>, Sellerio, Palermo, 2011</w:t>
            </w:r>
          </w:p>
          <w:p w:rsidR="002723A2" w:rsidRDefault="008448DE" w:rsidP="00272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Bertho</w:t>
            </w:r>
            <w:r w:rsidR="002723A2">
              <w:rPr>
                <w:sz w:val="18"/>
                <w:szCs w:val="18"/>
              </w:rPr>
              <w:t xml:space="preserve">ud E., Elderkin S., </w:t>
            </w:r>
            <w:r w:rsidR="002723A2" w:rsidRPr="00767C9E">
              <w:rPr>
                <w:i/>
                <w:sz w:val="18"/>
                <w:szCs w:val="18"/>
              </w:rPr>
              <w:t>Crescere con i libri. Rimedi letterari per mantenere i bambini sani,saggi e felici</w:t>
            </w:r>
            <w:r w:rsidR="002723A2">
              <w:rPr>
                <w:sz w:val="18"/>
                <w:szCs w:val="18"/>
              </w:rPr>
              <w:t>, Sellerio, Palermo, 2017</w:t>
            </w:r>
          </w:p>
          <w:p w:rsidR="00644D4B" w:rsidRDefault="00644D4B" w:rsidP="006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Bruner J., </w:t>
            </w:r>
            <w:r w:rsidRPr="009913A3">
              <w:rPr>
                <w:i/>
                <w:sz w:val="18"/>
                <w:szCs w:val="18"/>
              </w:rPr>
              <w:t>La mente a più dimensioni</w:t>
            </w:r>
            <w:r>
              <w:rPr>
                <w:sz w:val="18"/>
                <w:szCs w:val="18"/>
              </w:rPr>
              <w:t>, Laterza, Bari, 2005</w:t>
            </w:r>
          </w:p>
          <w:p w:rsidR="00644D4B" w:rsidRDefault="00644D4B" w:rsidP="006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Bruner J., </w:t>
            </w:r>
            <w:r w:rsidRPr="009913A3">
              <w:rPr>
                <w:i/>
                <w:sz w:val="18"/>
                <w:szCs w:val="18"/>
              </w:rPr>
              <w:t>La fabbrica delle storie</w:t>
            </w:r>
            <w:r>
              <w:rPr>
                <w:sz w:val="18"/>
                <w:szCs w:val="18"/>
              </w:rPr>
              <w:t>,  Laterza, Bari, 2002</w:t>
            </w:r>
          </w:p>
          <w:p w:rsidR="00644D4B" w:rsidRDefault="00644D4B" w:rsidP="006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Chambers A., </w:t>
            </w:r>
            <w:r w:rsidRPr="009913A3">
              <w:rPr>
                <w:i/>
                <w:sz w:val="18"/>
                <w:szCs w:val="18"/>
              </w:rPr>
              <w:t>Il lettore infinito</w:t>
            </w:r>
            <w:r>
              <w:rPr>
                <w:sz w:val="18"/>
                <w:szCs w:val="18"/>
              </w:rPr>
              <w:t>, Equilibri, Modena, 2015</w:t>
            </w:r>
          </w:p>
          <w:p w:rsidR="00644D4B" w:rsidRDefault="00644D4B" w:rsidP="006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Gottschall J., </w:t>
            </w:r>
            <w:r w:rsidRPr="009913A3">
              <w:rPr>
                <w:i/>
                <w:sz w:val="18"/>
                <w:szCs w:val="18"/>
              </w:rPr>
              <w:t>L’istinto di narrare. Come le storie ci hanno reso umani</w:t>
            </w:r>
            <w:r>
              <w:rPr>
                <w:sz w:val="18"/>
                <w:szCs w:val="18"/>
              </w:rPr>
              <w:t>, Bollati Boringhieri, Torino, 2014</w:t>
            </w:r>
          </w:p>
          <w:p w:rsidR="002723A2" w:rsidRDefault="002723A2" w:rsidP="006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Smorti A., </w:t>
            </w:r>
            <w:r w:rsidRPr="009913A3">
              <w:rPr>
                <w:i/>
                <w:sz w:val="18"/>
                <w:szCs w:val="18"/>
              </w:rPr>
              <w:t>Narrazioni. Cultura, memorie, formazione del Sé</w:t>
            </w:r>
            <w:r>
              <w:rPr>
                <w:sz w:val="18"/>
                <w:szCs w:val="18"/>
              </w:rPr>
              <w:t>, Giunti, Milano, 2007</w:t>
            </w:r>
          </w:p>
          <w:p w:rsidR="00644D4B" w:rsidRDefault="008448DE" w:rsidP="00644D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Valentin</w:t>
            </w:r>
            <w:r w:rsidR="00644D4B">
              <w:rPr>
                <w:sz w:val="18"/>
                <w:szCs w:val="18"/>
              </w:rPr>
              <w:t xml:space="preserve">o Merletti R., Tognolini B., </w:t>
            </w:r>
            <w:r w:rsidR="00644D4B" w:rsidRPr="00F3282F">
              <w:rPr>
                <w:i/>
                <w:sz w:val="18"/>
                <w:szCs w:val="18"/>
              </w:rPr>
              <w:t>Leggimi forte. Accompagnare i bambini nel grande universo della lettura</w:t>
            </w:r>
            <w:r w:rsidR="00644D4B">
              <w:rPr>
                <w:sz w:val="18"/>
                <w:szCs w:val="18"/>
              </w:rPr>
              <w:t>, Salani, Milano, 2015</w:t>
            </w:r>
            <w:r>
              <w:rPr>
                <w:sz w:val="18"/>
                <w:szCs w:val="18"/>
              </w:rPr>
              <w:t>.</w:t>
            </w:r>
          </w:p>
          <w:p w:rsidR="002723A2" w:rsidRDefault="002723A2" w:rsidP="00644D4B">
            <w:pPr>
              <w:rPr>
                <w:sz w:val="18"/>
                <w:szCs w:val="18"/>
              </w:rPr>
            </w:pPr>
          </w:p>
          <w:p w:rsidR="00A5019F" w:rsidRPr="00794453" w:rsidRDefault="00644D4B" w:rsidP="00644D4B">
            <w:pPr>
              <w:rPr>
                <w:i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Ulteriore bibliografia e materiale didattico per le esercitazioni verrà fornito nel corso degli incontri.</w:t>
            </w:r>
          </w:p>
        </w:tc>
      </w:tr>
      <w:tr w:rsidR="00C63DBF" w:rsidRPr="00847821" w:rsidTr="002F26D5">
        <w:trPr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C63DBF" w:rsidRPr="00847821" w:rsidRDefault="00C63DB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  <w:r w:rsidRPr="00847821">
              <w:rPr>
                <w:b/>
                <w:bCs/>
                <w:color w:val="DA7812"/>
                <w:sz w:val="18"/>
                <w:szCs w:val="18"/>
              </w:rPr>
              <w:t>CONTATTI</w:t>
            </w:r>
          </w:p>
          <w:p w:rsidR="00C63DBF" w:rsidRPr="00847821" w:rsidRDefault="00C63DBF" w:rsidP="002F26D5">
            <w:pPr>
              <w:jc w:val="right"/>
              <w:rPr>
                <w:b/>
                <w:bCs/>
                <w:color w:val="DA7812"/>
                <w:sz w:val="18"/>
                <w:szCs w:val="18"/>
              </w:rPr>
            </w:pP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C63DBF" w:rsidRDefault="00C83C44" w:rsidP="006E2934">
            <w:hyperlink r:id="rId9" w:history="1">
              <w:r w:rsidR="002347CB" w:rsidRPr="00FA5C27">
                <w:rPr>
                  <w:rStyle w:val="Collegamentoipertestuale"/>
                  <w:sz w:val="18"/>
                  <w:szCs w:val="18"/>
                </w:rPr>
                <w:t>clelia.tollot@ius.to</w:t>
              </w:r>
            </w:hyperlink>
          </w:p>
          <w:p w:rsidR="00CF71A3" w:rsidRPr="00CF71A3" w:rsidRDefault="00CF71A3" w:rsidP="006E2934">
            <w:pPr>
              <w:rPr>
                <w:sz w:val="18"/>
                <w:szCs w:val="18"/>
              </w:rPr>
            </w:pPr>
            <w:r w:rsidRPr="00CF71A3">
              <w:rPr>
                <w:sz w:val="18"/>
                <w:szCs w:val="18"/>
              </w:rPr>
              <w:t>tel. 347 0498992</w:t>
            </w:r>
          </w:p>
          <w:p w:rsidR="00C63DBF" w:rsidRPr="002F0F01" w:rsidRDefault="00C63DBF" w:rsidP="006E2934">
            <w:pPr>
              <w:rPr>
                <w:sz w:val="18"/>
                <w:szCs w:val="18"/>
              </w:rPr>
            </w:pPr>
          </w:p>
        </w:tc>
      </w:tr>
      <w:tr w:rsidR="00C63DBF" w:rsidRPr="00847821" w:rsidTr="00C63DBF">
        <w:trPr>
          <w:trHeight w:val="70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8" w:space="0" w:color="DA7812"/>
            </w:tcBorders>
            <w:shd w:val="clear" w:color="auto" w:fill="auto"/>
          </w:tcPr>
          <w:p w:rsidR="00C63DBF" w:rsidRPr="00C63DBF" w:rsidRDefault="00C63DBF" w:rsidP="00C63DBF">
            <w:pPr>
              <w:spacing w:line="240" w:lineRule="auto"/>
              <w:jc w:val="right"/>
              <w:rPr>
                <w:b/>
                <w:bCs/>
                <w:color w:val="DA7812"/>
                <w:sz w:val="2"/>
                <w:szCs w:val="18"/>
              </w:rPr>
            </w:pPr>
          </w:p>
        </w:tc>
        <w:tc>
          <w:tcPr>
            <w:tcW w:w="8469" w:type="dxa"/>
            <w:tcBorders>
              <w:top w:val="nil"/>
              <w:left w:val="single" w:sz="8" w:space="0" w:color="DA7812"/>
              <w:bottom w:val="nil"/>
              <w:right w:val="nil"/>
            </w:tcBorders>
            <w:shd w:val="clear" w:color="auto" w:fill="auto"/>
          </w:tcPr>
          <w:p w:rsidR="00C63DBF" w:rsidRPr="00C63DBF" w:rsidRDefault="00C63DBF" w:rsidP="00C63DBF">
            <w:pPr>
              <w:spacing w:line="240" w:lineRule="auto"/>
              <w:rPr>
                <w:sz w:val="2"/>
                <w:szCs w:val="18"/>
              </w:rPr>
            </w:pPr>
          </w:p>
        </w:tc>
      </w:tr>
    </w:tbl>
    <w:p w:rsidR="00BF4372" w:rsidRDefault="00BF4372" w:rsidP="005B377C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Pr="00BF4372" w:rsidRDefault="00BF4372" w:rsidP="00BF4372"/>
    <w:p w:rsidR="00BF4372" w:rsidRDefault="00BF4372" w:rsidP="00BF4372"/>
    <w:p w:rsidR="00E7688A" w:rsidRPr="00BF4372" w:rsidRDefault="00BF4372" w:rsidP="00BF4372">
      <w:pPr>
        <w:tabs>
          <w:tab w:val="left" w:pos="1300"/>
        </w:tabs>
      </w:pPr>
      <w:r>
        <w:tab/>
      </w:r>
    </w:p>
    <w:sectPr w:rsidR="00E7688A" w:rsidRPr="00BF4372" w:rsidSect="00E7688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14" w:right="851" w:bottom="1134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C44" w:rsidRDefault="00C83C44" w:rsidP="006C5A6A">
      <w:r>
        <w:separator/>
      </w:r>
    </w:p>
  </w:endnote>
  <w:endnote w:type="continuationSeparator" w:id="0">
    <w:p w:rsidR="00C83C44" w:rsidRDefault="00C83C44" w:rsidP="006C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8B0801"/>
      </w:tblBorders>
      <w:tblLook w:val="04A0" w:firstRow="1" w:lastRow="0" w:firstColumn="1" w:lastColumn="0" w:noHBand="0" w:noVBand="1"/>
    </w:tblPr>
    <w:tblGrid>
      <w:gridCol w:w="5172"/>
      <w:gridCol w:w="5172"/>
    </w:tblGrid>
    <w:tr w:rsidR="00BB7C0A" w:rsidRPr="00F80670" w:rsidTr="002F26D5">
      <w:trPr>
        <w:trHeight w:val="227"/>
      </w:trPr>
      <w:tc>
        <w:tcPr>
          <w:tcW w:w="5172" w:type="dxa"/>
          <w:shd w:val="clear" w:color="auto" w:fill="auto"/>
          <w:vAlign w:val="center"/>
        </w:tcPr>
        <w:p w:rsidR="00BB7C0A" w:rsidRPr="00F80670" w:rsidRDefault="00BB7C0A" w:rsidP="002F26D5">
          <w:pPr>
            <w:pStyle w:val="Pidipagina"/>
            <w:spacing w:line="240" w:lineRule="auto"/>
            <w:jc w:val="left"/>
            <w:rPr>
              <w:color w:val="BD1220"/>
              <w:sz w:val="14"/>
              <w:szCs w:val="14"/>
            </w:rPr>
          </w:pPr>
          <w:r w:rsidRPr="00F80670">
            <w:rPr>
              <w:color w:val="8B0801"/>
              <w:sz w:val="14"/>
              <w:szCs w:val="14"/>
            </w:rPr>
            <w:t xml:space="preserve">IUSTO - Dipartimento di Psicologia - Programmi Tirocini MPSI </w:t>
          </w:r>
          <w:r w:rsidRPr="00F80670">
            <w:rPr>
              <w:color w:val="7F7F7F" w:themeColor="text1" w:themeTint="80"/>
              <w:sz w:val="14"/>
              <w:szCs w:val="14"/>
            </w:rPr>
            <w:t>[LG 201.22 Rev.00]</w:t>
          </w:r>
        </w:p>
      </w:tc>
      <w:tc>
        <w:tcPr>
          <w:tcW w:w="5172" w:type="dxa"/>
          <w:shd w:val="clear" w:color="auto" w:fill="auto"/>
          <w:vAlign w:val="center"/>
        </w:tcPr>
        <w:p w:rsidR="00BB7C0A" w:rsidRPr="00F80670" w:rsidRDefault="00BB7C0A" w:rsidP="002F26D5">
          <w:pPr>
            <w:pStyle w:val="Pidipagina"/>
            <w:spacing w:line="240" w:lineRule="auto"/>
            <w:jc w:val="right"/>
            <w:rPr>
              <w:color w:val="BD1220"/>
              <w:sz w:val="14"/>
              <w:szCs w:val="14"/>
            </w:rPr>
          </w:pPr>
          <w:r w:rsidRPr="00F80670">
            <w:rPr>
              <w:color w:val="7F7F7F" w:themeColor="text1" w:themeTint="80"/>
              <w:sz w:val="14"/>
              <w:szCs w:val="14"/>
            </w:rPr>
            <w:t xml:space="preserve">Pagina 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begin"/>
          </w:r>
          <w:r w:rsidRPr="00F80670">
            <w:rPr>
              <w:color w:val="7F7F7F" w:themeColor="text1" w:themeTint="80"/>
              <w:sz w:val="14"/>
              <w:szCs w:val="14"/>
            </w:rPr>
            <w:instrText xml:space="preserve"> PAGE </w:instrTex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separate"/>
          </w:r>
          <w:r w:rsidR="00E207C1">
            <w:rPr>
              <w:noProof/>
              <w:color w:val="7F7F7F" w:themeColor="text1" w:themeTint="80"/>
              <w:sz w:val="14"/>
              <w:szCs w:val="14"/>
            </w:rPr>
            <w:t>2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end"/>
          </w:r>
          <w:r w:rsidRPr="00F80670">
            <w:rPr>
              <w:color w:val="7F7F7F" w:themeColor="text1" w:themeTint="80"/>
              <w:sz w:val="14"/>
              <w:szCs w:val="14"/>
            </w:rPr>
            <w:t xml:space="preserve"> di 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begin"/>
          </w:r>
          <w:r w:rsidRPr="00F80670">
            <w:rPr>
              <w:color w:val="7F7F7F" w:themeColor="text1" w:themeTint="80"/>
              <w:sz w:val="14"/>
              <w:szCs w:val="14"/>
            </w:rPr>
            <w:instrText xml:space="preserve"> NUMPAGES </w:instrTex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separate"/>
          </w:r>
          <w:r w:rsidR="00E207C1">
            <w:rPr>
              <w:noProof/>
              <w:color w:val="7F7F7F" w:themeColor="text1" w:themeTint="80"/>
              <w:sz w:val="14"/>
              <w:szCs w:val="14"/>
            </w:rPr>
            <w:t>2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end"/>
          </w:r>
        </w:p>
      </w:tc>
    </w:tr>
  </w:tbl>
  <w:p w:rsidR="00BB7C0A" w:rsidRPr="00A5019F" w:rsidRDefault="00BB7C0A" w:rsidP="006C5A6A">
    <w:pPr>
      <w:pStyle w:val="Pidipagina"/>
      <w:rPr>
        <w:sz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0A" w:rsidRPr="006C5A6A" w:rsidRDefault="00BB7C0A" w:rsidP="00E7688A">
    <w:pPr>
      <w:pStyle w:val="Pidipagina"/>
      <w:tabs>
        <w:tab w:val="clear" w:pos="4819"/>
      </w:tabs>
    </w:pPr>
  </w:p>
  <w:tbl>
    <w:tblPr>
      <w:tblW w:w="0" w:type="auto"/>
      <w:tblBorders>
        <w:top w:val="single" w:sz="4" w:space="0" w:color="8B0801"/>
      </w:tblBorders>
      <w:tblLook w:val="04A0" w:firstRow="1" w:lastRow="0" w:firstColumn="1" w:lastColumn="0" w:noHBand="0" w:noVBand="1"/>
    </w:tblPr>
    <w:tblGrid>
      <w:gridCol w:w="6629"/>
      <w:gridCol w:w="3715"/>
    </w:tblGrid>
    <w:tr w:rsidR="00BB7C0A" w:rsidRPr="00BF4372" w:rsidTr="002F26D5">
      <w:trPr>
        <w:trHeight w:val="227"/>
      </w:trPr>
      <w:tc>
        <w:tcPr>
          <w:tcW w:w="6629" w:type="dxa"/>
          <w:shd w:val="clear" w:color="auto" w:fill="auto"/>
          <w:vAlign w:val="center"/>
        </w:tcPr>
        <w:p w:rsidR="00BB7C0A" w:rsidRPr="00BF4372" w:rsidRDefault="00BB7C0A" w:rsidP="00DC5E74">
          <w:pPr>
            <w:pStyle w:val="Pidipagina"/>
            <w:spacing w:line="240" w:lineRule="auto"/>
            <w:jc w:val="left"/>
            <w:rPr>
              <w:sz w:val="16"/>
              <w:szCs w:val="14"/>
            </w:rPr>
          </w:pPr>
          <w:r w:rsidRPr="00F80670">
            <w:rPr>
              <w:color w:val="8B0801"/>
              <w:sz w:val="14"/>
              <w:szCs w:val="14"/>
            </w:rPr>
            <w:t xml:space="preserve">IUSTO - Dipartimento di Psicologia - Programmi Tirocini PSI </w:t>
          </w:r>
          <w:r w:rsidRPr="00F80670">
            <w:rPr>
              <w:color w:val="7F7F7F" w:themeColor="text1" w:themeTint="80"/>
              <w:sz w:val="14"/>
              <w:szCs w:val="14"/>
            </w:rPr>
            <w:t>[LG 201.22 Rev.00]</w:t>
          </w:r>
        </w:p>
      </w:tc>
      <w:tc>
        <w:tcPr>
          <w:tcW w:w="3715" w:type="dxa"/>
          <w:shd w:val="clear" w:color="auto" w:fill="auto"/>
          <w:vAlign w:val="center"/>
        </w:tcPr>
        <w:p w:rsidR="00BB7C0A" w:rsidRPr="00BF4372" w:rsidRDefault="00BB7C0A" w:rsidP="002F26D5">
          <w:pPr>
            <w:pStyle w:val="Pidipagina"/>
            <w:spacing w:line="240" w:lineRule="auto"/>
            <w:jc w:val="right"/>
            <w:rPr>
              <w:sz w:val="16"/>
              <w:szCs w:val="14"/>
            </w:rPr>
          </w:pPr>
          <w:r w:rsidRPr="00F80670">
            <w:rPr>
              <w:color w:val="7F7F7F" w:themeColor="text1" w:themeTint="80"/>
              <w:sz w:val="14"/>
              <w:szCs w:val="14"/>
            </w:rPr>
            <w:t xml:space="preserve">Pagina 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begin"/>
          </w:r>
          <w:r w:rsidRPr="00F80670">
            <w:rPr>
              <w:color w:val="7F7F7F" w:themeColor="text1" w:themeTint="80"/>
              <w:sz w:val="14"/>
              <w:szCs w:val="14"/>
            </w:rPr>
            <w:instrText xml:space="preserve"> PAGE </w:instrTex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separate"/>
          </w:r>
          <w:r w:rsidR="00E207C1">
            <w:rPr>
              <w:noProof/>
              <w:color w:val="7F7F7F" w:themeColor="text1" w:themeTint="80"/>
              <w:sz w:val="14"/>
              <w:szCs w:val="14"/>
            </w:rPr>
            <w:t>1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end"/>
          </w:r>
          <w:r w:rsidRPr="00F80670">
            <w:rPr>
              <w:color w:val="7F7F7F" w:themeColor="text1" w:themeTint="80"/>
              <w:sz w:val="14"/>
              <w:szCs w:val="14"/>
            </w:rPr>
            <w:t xml:space="preserve"> di 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begin"/>
          </w:r>
          <w:r w:rsidRPr="00F80670">
            <w:rPr>
              <w:color w:val="7F7F7F" w:themeColor="text1" w:themeTint="80"/>
              <w:sz w:val="14"/>
              <w:szCs w:val="14"/>
            </w:rPr>
            <w:instrText xml:space="preserve"> NUMPAGES </w:instrTex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separate"/>
          </w:r>
          <w:r w:rsidR="00E207C1">
            <w:rPr>
              <w:noProof/>
              <w:color w:val="7F7F7F" w:themeColor="text1" w:themeTint="80"/>
              <w:sz w:val="14"/>
              <w:szCs w:val="14"/>
            </w:rPr>
            <w:t>2</w:t>
          </w:r>
          <w:r w:rsidR="008D6FA4" w:rsidRPr="00F80670">
            <w:rPr>
              <w:color w:val="7F7F7F" w:themeColor="text1" w:themeTint="80"/>
              <w:sz w:val="14"/>
              <w:szCs w:val="14"/>
            </w:rPr>
            <w:fldChar w:fldCharType="end"/>
          </w:r>
        </w:p>
      </w:tc>
    </w:tr>
  </w:tbl>
  <w:p w:rsidR="00BB7C0A" w:rsidRPr="00BF4372" w:rsidRDefault="00BB7C0A" w:rsidP="00E7688A">
    <w:pPr>
      <w:pStyle w:val="Pidipagina"/>
      <w:tabs>
        <w:tab w:val="clear" w:pos="481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C44" w:rsidRDefault="00C83C44" w:rsidP="006C5A6A">
      <w:r>
        <w:separator/>
      </w:r>
    </w:p>
  </w:footnote>
  <w:footnote w:type="continuationSeparator" w:id="0">
    <w:p w:rsidR="00C83C44" w:rsidRDefault="00C83C44" w:rsidP="006C5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0A" w:rsidRDefault="00BB7C0A" w:rsidP="006C5A6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80085" cy="830447"/>
          <wp:effectExtent l="0" t="0" r="0" b="8255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ngolo colo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85" cy="83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C0A" w:rsidRDefault="00BB7C0A" w:rsidP="006C5A6A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980085" cy="830447"/>
          <wp:effectExtent l="0" t="0" r="0" b="825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ngolo colo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85" cy="830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7C0A" w:rsidRPr="008226BD" w:rsidRDefault="00BB7C0A" w:rsidP="006C5A6A">
    <w:pPr>
      <w:pStyle w:val="Intestazione"/>
      <w:jc w:val="center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A49"/>
    <w:multiLevelType w:val="hybridMultilevel"/>
    <w:tmpl w:val="F5126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655A"/>
    <w:multiLevelType w:val="hybridMultilevel"/>
    <w:tmpl w:val="0BB6A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56F20"/>
    <w:multiLevelType w:val="hybridMultilevel"/>
    <w:tmpl w:val="AE06CF1A"/>
    <w:lvl w:ilvl="0" w:tplc="AD32C74C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62171F"/>
    <w:multiLevelType w:val="hybridMultilevel"/>
    <w:tmpl w:val="7D024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75BA3"/>
    <w:multiLevelType w:val="hybridMultilevel"/>
    <w:tmpl w:val="A22033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D0569"/>
    <w:multiLevelType w:val="hybridMultilevel"/>
    <w:tmpl w:val="5E7C2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00CBE"/>
    <w:multiLevelType w:val="multilevel"/>
    <w:tmpl w:val="0410001D"/>
    <w:styleLink w:val="Sti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DEC33D1"/>
    <w:multiLevelType w:val="hybridMultilevel"/>
    <w:tmpl w:val="2744B3C8"/>
    <w:lvl w:ilvl="0" w:tplc="4A16B8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B7240"/>
    <w:multiLevelType w:val="hybridMultilevel"/>
    <w:tmpl w:val="9224E572"/>
    <w:lvl w:ilvl="0" w:tplc="61067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300" w:allStyles="0" w:customStyles="0" w:latentStyles="0" w:stylesInUse="0" w:headingStyles="0" w:numberingStyles="0" w:tableStyles="0" w:directFormattingOnRuns="1" w:directFormattingOnParagraphs="1" w:directFormattingOnNumbering="0" w:directFormattingOnTables="0" w:clearFormatting="0" w:top3HeadingStyles="0" w:visibleStyles="0" w:alternateStyleNames="0"/>
  <w:stylePaneSortMethod w:val="00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FD5"/>
    <w:rsid w:val="00002F63"/>
    <w:rsid w:val="0002782D"/>
    <w:rsid w:val="00031071"/>
    <w:rsid w:val="000578FB"/>
    <w:rsid w:val="000D2815"/>
    <w:rsid w:val="000F2960"/>
    <w:rsid w:val="001006AD"/>
    <w:rsid w:val="00127EDA"/>
    <w:rsid w:val="001317D8"/>
    <w:rsid w:val="001332CC"/>
    <w:rsid w:val="0016507F"/>
    <w:rsid w:val="001833C2"/>
    <w:rsid w:val="001E4385"/>
    <w:rsid w:val="001F5A1F"/>
    <w:rsid w:val="0022491C"/>
    <w:rsid w:val="002347CB"/>
    <w:rsid w:val="00235579"/>
    <w:rsid w:val="002441F0"/>
    <w:rsid w:val="00265F9B"/>
    <w:rsid w:val="002723A2"/>
    <w:rsid w:val="00272D29"/>
    <w:rsid w:val="002851C8"/>
    <w:rsid w:val="00293097"/>
    <w:rsid w:val="002945F0"/>
    <w:rsid w:val="002B1969"/>
    <w:rsid w:val="002B2057"/>
    <w:rsid w:val="002D3BF6"/>
    <w:rsid w:val="002F26D5"/>
    <w:rsid w:val="00300434"/>
    <w:rsid w:val="00342F1A"/>
    <w:rsid w:val="0034372F"/>
    <w:rsid w:val="0037655C"/>
    <w:rsid w:val="003A2322"/>
    <w:rsid w:val="003B0BCE"/>
    <w:rsid w:val="00423F61"/>
    <w:rsid w:val="00460499"/>
    <w:rsid w:val="00477B48"/>
    <w:rsid w:val="0048720F"/>
    <w:rsid w:val="00490FB0"/>
    <w:rsid w:val="004A00D7"/>
    <w:rsid w:val="004B5538"/>
    <w:rsid w:val="004C519E"/>
    <w:rsid w:val="004E0385"/>
    <w:rsid w:val="00522E0A"/>
    <w:rsid w:val="0054278E"/>
    <w:rsid w:val="00560720"/>
    <w:rsid w:val="00563E33"/>
    <w:rsid w:val="00593ABF"/>
    <w:rsid w:val="00597FE0"/>
    <w:rsid w:val="005B377C"/>
    <w:rsid w:val="005C7C23"/>
    <w:rsid w:val="005F74FA"/>
    <w:rsid w:val="006160CD"/>
    <w:rsid w:val="00626629"/>
    <w:rsid w:val="00644D4B"/>
    <w:rsid w:val="006553C9"/>
    <w:rsid w:val="006559A7"/>
    <w:rsid w:val="006A1BC4"/>
    <w:rsid w:val="006A29FD"/>
    <w:rsid w:val="006A4E55"/>
    <w:rsid w:val="006C5A6A"/>
    <w:rsid w:val="006E2934"/>
    <w:rsid w:val="006E40B9"/>
    <w:rsid w:val="007052D5"/>
    <w:rsid w:val="007239BF"/>
    <w:rsid w:val="007418CA"/>
    <w:rsid w:val="00767C9E"/>
    <w:rsid w:val="008226BD"/>
    <w:rsid w:val="008448DE"/>
    <w:rsid w:val="008503A3"/>
    <w:rsid w:val="0089632A"/>
    <w:rsid w:val="008D6FA4"/>
    <w:rsid w:val="00970BF9"/>
    <w:rsid w:val="009C2969"/>
    <w:rsid w:val="009E1EA2"/>
    <w:rsid w:val="00A11FCD"/>
    <w:rsid w:val="00A5019F"/>
    <w:rsid w:val="00A74FA2"/>
    <w:rsid w:val="00AB1C6F"/>
    <w:rsid w:val="00B00E13"/>
    <w:rsid w:val="00B02647"/>
    <w:rsid w:val="00BA678F"/>
    <w:rsid w:val="00BB7C0A"/>
    <w:rsid w:val="00BD2A96"/>
    <w:rsid w:val="00BF4372"/>
    <w:rsid w:val="00C63DBF"/>
    <w:rsid w:val="00C67269"/>
    <w:rsid w:val="00C83C44"/>
    <w:rsid w:val="00C92CE5"/>
    <w:rsid w:val="00CF4535"/>
    <w:rsid w:val="00CF71A3"/>
    <w:rsid w:val="00CF7FD5"/>
    <w:rsid w:val="00D23C7A"/>
    <w:rsid w:val="00D4634A"/>
    <w:rsid w:val="00D816B9"/>
    <w:rsid w:val="00D905AE"/>
    <w:rsid w:val="00D973F1"/>
    <w:rsid w:val="00DB079E"/>
    <w:rsid w:val="00DC5E74"/>
    <w:rsid w:val="00E207C1"/>
    <w:rsid w:val="00E34133"/>
    <w:rsid w:val="00E7688A"/>
    <w:rsid w:val="00E87848"/>
    <w:rsid w:val="00E933E5"/>
    <w:rsid w:val="00EA67F5"/>
    <w:rsid w:val="00EC6D3E"/>
    <w:rsid w:val="00ED37AC"/>
    <w:rsid w:val="00EF4D43"/>
    <w:rsid w:val="00F06A38"/>
    <w:rsid w:val="00F0790B"/>
    <w:rsid w:val="00F2554A"/>
    <w:rsid w:val="00F449A2"/>
    <w:rsid w:val="00F8316A"/>
    <w:rsid w:val="00F850D0"/>
    <w:rsid w:val="00F90616"/>
    <w:rsid w:val="00FB3EC4"/>
    <w:rsid w:val="00FD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C12BC"/>
  <w15:docId w15:val="{F1FC8143-E328-4AE9-8E0C-86566B79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5A6A"/>
    <w:pPr>
      <w:spacing w:line="276" w:lineRule="auto"/>
      <w:jc w:val="both"/>
    </w:pPr>
    <w:rPr>
      <w:rFonts w:asciiTheme="minorHAnsi" w:hAnsiTheme="minorHAnsi" w:cstheme="minorHAns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Paragrafoelenco"/>
    <w:next w:val="Normale"/>
    <w:link w:val="SottotitoloCarattere"/>
    <w:autoRedefine/>
    <w:uiPriority w:val="11"/>
    <w:qFormat/>
    <w:rsid w:val="00EF4D43"/>
    <w:pPr>
      <w:suppressAutoHyphens/>
      <w:ind w:left="360" w:hanging="360"/>
    </w:pPr>
    <w:rPr>
      <w:rFonts w:asciiTheme="majorHAnsi" w:hAnsiTheme="majorHAnsi"/>
      <w:b/>
      <w:i/>
      <w:color w:val="4F81BD" w:themeColor="accent1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4D43"/>
    <w:rPr>
      <w:rFonts w:asciiTheme="majorHAnsi" w:hAnsiTheme="majorHAnsi" w:cstheme="minorHAnsi"/>
      <w:b/>
      <w:i/>
      <w:color w:val="4F81BD" w:themeColor="accent1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EF4D4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46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34A"/>
  </w:style>
  <w:style w:type="paragraph" w:styleId="Pidipagina">
    <w:name w:val="footer"/>
    <w:basedOn w:val="Normale"/>
    <w:link w:val="PidipaginaCarattere"/>
    <w:uiPriority w:val="99"/>
    <w:unhideWhenUsed/>
    <w:rsid w:val="00D46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3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3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34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06A38"/>
    <w:rPr>
      <w:color w:val="0000FF" w:themeColor="hyperlink"/>
      <w:u w:val="single"/>
    </w:rPr>
  </w:style>
  <w:style w:type="numbering" w:customStyle="1" w:styleId="Stile1">
    <w:name w:val="Stile1"/>
    <w:uiPriority w:val="99"/>
    <w:rsid w:val="00C6726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s.t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lia.tollot@ius.t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86562-567E-4928-88BD-DF1F0799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Rocchi</dc:creator>
  <cp:lastModifiedBy>Utente</cp:lastModifiedBy>
  <cp:revision>3</cp:revision>
  <cp:lastPrinted>2018-03-10T10:17:00Z</cp:lastPrinted>
  <dcterms:created xsi:type="dcterms:W3CDTF">2019-11-23T13:47:00Z</dcterms:created>
  <dcterms:modified xsi:type="dcterms:W3CDTF">2019-11-23T14:11:00Z</dcterms:modified>
</cp:coreProperties>
</file>